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ECC16">
      <w:pPr>
        <w:sectPr>
          <w:headerReference r:id="rId3" w:type="default"/>
          <w:footerReference r:id="rId4" w:type="default"/>
          <w:pgSz w:w="10800" w:h="19202"/>
          <w:pgMar w:top="1440" w:right="1800" w:bottom="1440" w:left="1800" w:header="851" w:footer="992" w:gutter="0"/>
          <w:cols w:space="0" w:num="1"/>
          <w:rtlGutter w:val="0"/>
          <w:docGrid w:type="lines" w:linePitch="312" w:charSpace="0"/>
        </w:sectPr>
      </w:pPr>
      <w:r>
        <w:rPr>
          <w:rFonts w:hint="eastAsia"/>
          <w:sz w:val="21"/>
          <w:lang w:val="en-US" w:eastAsia="zh-CN"/>
        </w:rPr>
        <w:t xml:space="preserve">                  </w:t>
      </w:r>
      <w:bookmarkStart w:id="0" w:name="_GoBack"/>
      <w:r>
        <w:rPr>
          <w:rFonts w:hint="eastAsia" w:eastAsia="宋体"/>
          <w:lang w:eastAsia="zh-CN"/>
        </w:rPr>
        <w:drawing>
          <wp:anchor distT="0" distB="0" distL="114300" distR="114300" simplePos="0" relativeHeight="251659264" behindDoc="1" locked="0" layoutInCell="1" allowOverlap="1">
            <wp:simplePos x="0" y="0"/>
            <wp:positionH relativeFrom="column">
              <wp:posOffset>-1158875</wp:posOffset>
            </wp:positionH>
            <wp:positionV relativeFrom="paragraph">
              <wp:posOffset>-906780</wp:posOffset>
            </wp:positionV>
            <wp:extent cx="6879590" cy="12230735"/>
            <wp:effectExtent l="0" t="0" r="16510" b="18415"/>
            <wp:wrapNone/>
            <wp:docPr id="4" name="图片 4" descr="周报封面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周报封面 拷贝"/>
                    <pic:cNvPicPr>
                      <a:picLocks noChangeAspect="1"/>
                    </pic:cNvPicPr>
                  </pic:nvPicPr>
                  <pic:blipFill>
                    <a:blip r:embed="rId6"/>
                    <a:stretch>
                      <a:fillRect/>
                    </a:stretch>
                  </pic:blipFill>
                  <pic:spPr>
                    <a:xfrm>
                      <a:off x="0" y="0"/>
                      <a:ext cx="6879590" cy="12230735"/>
                    </a:xfrm>
                    <a:prstGeom prst="rect">
                      <a:avLst/>
                    </a:prstGeom>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5466715</wp:posOffset>
                </wp:positionV>
                <wp:extent cx="4624070" cy="1864995"/>
                <wp:effectExtent l="0" t="0" r="0" b="0"/>
                <wp:wrapNone/>
                <wp:docPr id="7" name="文本框 7"/>
                <wp:cNvGraphicFramePr/>
                <a:graphic xmlns:a="http://schemas.openxmlformats.org/drawingml/2006/main">
                  <a:graphicData uri="http://schemas.microsoft.com/office/word/2010/wordprocessingShape">
                    <wps:wsp>
                      <wps:cNvSpPr txBox="1"/>
                      <wps:spPr>
                        <a:xfrm>
                          <a:off x="1416050" y="6678295"/>
                          <a:ext cx="4624070" cy="1864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7CC1A">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阿根廷宣布暂时取消农产品出口预扣税</w:t>
                            </w:r>
                          </w:p>
                          <w:p w14:paraId="27290FDF">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中国东盟农产品贸易互补优势凸显</w:t>
                            </w:r>
                          </w:p>
                          <w:p w14:paraId="0E178E53">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经合组织上调2025年全球经济增长预期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30.45pt;height:146.85pt;width:364.1pt;z-index:251661312;mso-width-relative:page;mso-height-relative:page;" filled="f" stroked="f" coordsize="21600,21600" o:gfxdata="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tKVt9oAAAAJAQAADwAAAAAAAAAB&#10;ACAAAAAiAAAAZHJzL2Rvd25yZXYueG1sUEsBAhQAFAAAAAgAh07iQGigtflHAgAAcwQAAA4AAAAA&#10;AAAAAQAgAAAAKQEAAGRycy9lMm9Eb2MueG1sUEsFBgAAAAAGAAYAWQEAAOIFAAAAAA==&#10;">
                <v:fill on="f" focussize="0,0"/>
                <v:stroke on="f" weight="0.5pt"/>
                <v:imagedata o:title=""/>
                <o:lock v:ext="edit" aspectratio="f"/>
                <v:textbox>
                  <w:txbxContent>
                    <w:p w14:paraId="1FD7CC1A">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阿根廷宣布暂时取消农产品出口预扣税</w:t>
                      </w:r>
                    </w:p>
                    <w:p w14:paraId="27290FDF">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中国东盟农产品贸易互补优势凸显</w:t>
                      </w:r>
                    </w:p>
                    <w:p w14:paraId="0E178E53">
                      <w:pPr>
                        <w:keepNext w:val="0"/>
                        <w:keepLines w:val="0"/>
                        <w:pageBreakBefore w:val="0"/>
                        <w:widowControl w:val="0"/>
                        <w:kinsoku/>
                        <w:wordWrap/>
                        <w:overflowPunct/>
                        <w:topLinePunct w:val="0"/>
                        <w:bidi w:val="0"/>
                        <w:adjustRightInd/>
                        <w:snapToGrid/>
                        <w:spacing w:before="0" w:after="0" w:afterLines="100"/>
                        <w:ind w:left="720" w:hanging="720" w:hangingChars="200"/>
                        <w:textAlignment w:val="auto"/>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pPr>
                      <w:r>
                        <w:rPr>
                          <w:rFonts w:hint="eastAsia" w:ascii="微软雅黑" w:hAnsi="微软雅黑" w:eastAsia="微软雅黑" w:cs="微软雅黑"/>
                          <w:b/>
                          <w:bCs/>
                          <w:color w:val="EE822F" w:themeColor="accent2"/>
                          <w:sz w:val="36"/>
                          <w:szCs w:val="36"/>
                          <w:lang w:val="en-US" w:eastAsia="zh-CN"/>
                          <w14:textFill>
                            <w14:solidFill>
                              <w14:schemeClr w14:val="accent2"/>
                            </w14:solidFill>
                          </w14:textFill>
                        </w:rPr>
                        <w:t xml:space="preserve">◀ </w:t>
                      </w:r>
                      <w:r>
                        <w:rPr>
                          <w:rFonts w:hint="eastAsia" w:ascii="微软雅黑" w:hAnsi="微软雅黑" w:eastAsia="微软雅黑" w:cs="微软雅黑"/>
                          <w:b/>
                          <w:bCs/>
                          <w:color w:val="FFFFFF" w:themeColor="background1"/>
                          <w:sz w:val="36"/>
                          <w:szCs w:val="36"/>
                          <w:lang w:val="en-US" w:eastAsia="zh-CN"/>
                          <w14:textFill>
                            <w14:solidFill>
                              <w14:schemeClr w14:val="bg1"/>
                            </w14:solidFill>
                          </w14:textFill>
                        </w:rPr>
                        <w:t>经合组织上调2025年全球经济增长预期</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388620</wp:posOffset>
                </wp:positionH>
                <wp:positionV relativeFrom="paragraph">
                  <wp:posOffset>9750425</wp:posOffset>
                </wp:positionV>
                <wp:extent cx="3794125" cy="5734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94125" cy="573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B26D8">
                            <w:pPr>
                              <w:jc w:val="center"/>
                              <w:rPr>
                                <w:rFonts w:hint="default"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t>2025-09-29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767.75pt;height:45.15pt;width:298.75pt;z-index:251663360;mso-width-relative:page;mso-height-relative:page;" filled="f" stroked="f" coordsize="21600,21600" o:gfxdata="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huJQNsAAAAMAQAADwAAAAAAAAABACAAAAAiAAAA&#10;ZHJzL2Rvd25yZXYueG1sUEsBAhQAFAAAAAgAh07iQBSTMoA9AgAAaAQAAA4AAAAAAAAAAQAgAAAA&#10;KgEAAGRycy9lMm9Eb2MueG1sUEsFBgAAAAAGAAYAWQEAANkFAAAAAA==&#10;">
                <v:fill on="f" focussize="0,0"/>
                <v:stroke on="f" weight="0.5pt"/>
                <v:imagedata o:title=""/>
                <o:lock v:ext="edit" aspectratio="f"/>
                <v:textbox>
                  <w:txbxContent>
                    <w:p w14:paraId="269B26D8">
                      <w:pPr>
                        <w:jc w:val="center"/>
                        <w:rPr>
                          <w:rFonts w:hint="default"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t>2025-09-29</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388620</wp:posOffset>
                </wp:positionH>
                <wp:positionV relativeFrom="paragraph">
                  <wp:posOffset>9407525</wp:posOffset>
                </wp:positionV>
                <wp:extent cx="3794125" cy="573405"/>
                <wp:effectExtent l="0" t="0" r="0" b="0"/>
                <wp:wrapNone/>
                <wp:docPr id="8" name="文本框 8"/>
                <wp:cNvGraphicFramePr/>
                <a:graphic xmlns:a="http://schemas.openxmlformats.org/drawingml/2006/main">
                  <a:graphicData uri="http://schemas.microsoft.com/office/word/2010/wordprocessingShape">
                    <wps:wsp>
                      <wps:cNvSpPr txBox="1"/>
                      <wps:spPr>
                        <a:xfrm>
                          <a:off x="1381760" y="10520045"/>
                          <a:ext cx="3794125" cy="573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CD92C">
                            <w:pPr>
                              <w:jc w:val="center"/>
                              <w:rPr>
                                <w:rFonts w:hint="default"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t>资讯组出品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740.75pt;height:45.15pt;width:298.75pt;z-index:251662336;mso-width-relative:page;mso-height-relative:page;" filled="f" stroked="f" coordsize="21600,21600" o:gfxdata="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U7Lj3AAAAAwBAAAPAAAAAAAA&#10;AAEAIAAAACIAAABkcnMvZG93bnJldi54bWxQSwECFAAUAAAACACHTuJAprkcIUcCAABzBAAADgAA&#10;AAAAAAABACAAAAArAQAAZHJzL2Uyb0RvYy54bWxQSwUGAAAAAAYABgBZAQAA5AUAAAAA&#10;">
                <v:fill on="f" focussize="0,0"/>
                <v:stroke on="f" weight="0.5pt"/>
                <v:imagedata o:title=""/>
                <o:lock v:ext="edit" aspectratio="f"/>
                <v:textbox>
                  <w:txbxContent>
                    <w:p w14:paraId="257CD92C">
                      <w:pPr>
                        <w:jc w:val="center"/>
                        <w:rPr>
                          <w:rFonts w:hint="default"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pPr>
                      <w:r>
                        <w:rPr>
                          <w:rFonts w:hint="eastAsia" w:ascii="微软雅黑" w:hAnsi="微软雅黑" w:eastAsia="微软雅黑" w:cs="微软雅黑"/>
                          <w:b/>
                          <w:bCs/>
                          <w:color w:val="FFFFFF" w:themeColor="background1"/>
                          <w:sz w:val="36"/>
                          <w:szCs w:val="36"/>
                          <w:lang w:val="en-US" w:eastAsia="zh-CN"/>
                          <w14:shadow w14:blurRad="50800" w14:dist="38100" w14:dir="3120000" w14:sx="104000" w14:sy="104000" w14:kx="0" w14:ky="0" w14:algn="tl">
                            <w14:srgbClr w14:val="000000">
                              <w14:alpha w14:val="83000"/>
                            </w14:srgbClr>
                          </w14:shadow>
                          <w14:textFill>
                            <w14:solidFill>
                              <w14:schemeClr w14:val="bg1"/>
                            </w14:solidFill>
                          </w14:textFill>
                        </w:rPr>
                        <w:t>资讯组出品</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-401320</wp:posOffset>
                </wp:positionH>
                <wp:positionV relativeFrom="paragraph">
                  <wp:posOffset>5331460</wp:posOffset>
                </wp:positionV>
                <wp:extent cx="5375275" cy="2050415"/>
                <wp:effectExtent l="6350" t="6350" r="9525" b="19685"/>
                <wp:wrapNone/>
                <wp:docPr id="6" name="圆角矩形 6"/>
                <wp:cNvGraphicFramePr/>
                <a:graphic xmlns:a="http://schemas.openxmlformats.org/drawingml/2006/main">
                  <a:graphicData uri="http://schemas.microsoft.com/office/word/2010/wordprocessingShape">
                    <wps:wsp>
                      <wps:cNvSpPr/>
                      <wps:spPr>
                        <a:xfrm>
                          <a:off x="790575" y="6202680"/>
                          <a:ext cx="5375275" cy="2050415"/>
                        </a:xfrm>
                        <a:prstGeom prst="roundRect">
                          <a:avLst>
                            <a:gd name="adj" fmla="val 6290"/>
                          </a:avLst>
                        </a:prstGeom>
                        <a:solidFill>
                          <a:schemeClr val="accent1">
                            <a:lumMod val="50000"/>
                            <a:alpha val="80000"/>
                          </a:schemeClr>
                        </a:solidFill>
                        <a:ln>
                          <a:solidFill>
                            <a:schemeClr val="accent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6pt;margin-top:419.8pt;height:161.45pt;width:423.25pt;z-index:251660288;v-text-anchor:middle;mso-width-relative:page;mso-height-relative:page;" fillcolor="#1E386B [1604]" filled="t" stroked="t" coordsize="21600,21600" arcsize="0.0629166666666667" o:gfxdata="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g28iXN0AAAAM&#10;AQAADwAAAAAAAAABACAAAAAiAAAAZHJzL2Rvd25yZXYueG1sUEsBAhQAFAAAAAgAh07iQAysNTzC&#10;AgAAbgUAAA4AAAAAAAAAAQAgAAAALAEAAGRycy9lMm9Eb2MueG1sUEsFBgAAAAAGAAYAWQEAAGAG&#10;AAAAAA==&#10;">
                <v:fill on="t" opacity="52428f" focussize="0,0"/>
                <v:stroke weight="1pt" color="#4874CB [3204]" miterlimit="8" joinstyle="miter"/>
                <v:imagedata o:title=""/>
                <o:lock v:ext="edit" aspectratio="f"/>
              </v:roundrect>
            </w:pict>
          </mc:Fallback>
        </mc:AlternateContent>
      </w:r>
    </w:p>
    <w:bookmarkEnd w:id="0"/>
    <w:p w14:paraId="67AD1369">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来源：中国经济网-《经济日报》</w:t>
      </w:r>
    </w:p>
    <w:p w14:paraId="653564A2">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8月我国外汇市场平稳运行</w:t>
      </w:r>
    </w:p>
    <w:p w14:paraId="73BB410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非银行部门跨境收支1.3万亿美元</w:t>
      </w:r>
    </w:p>
    <w:p w14:paraId="1D39894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国家外汇管理局19日公布统计数据显示，今年8月，银行结汇15103亿元，售汇14058亿元；前8个月，银行累计结汇113938亿元，累计售汇113078亿元。今年8月，银行代客涉外收入45515亿元，对外付款45284亿元；前8个月，银行代客累计涉外收入372219亿元，累计对外付款363400亿元。</w:t>
      </w:r>
    </w:p>
    <w:p w14:paraId="7000C2F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总的来看，当前我国外汇市场交易活跃，外汇供求基本平衡，市场预期保持稳定。”国家外汇管理局副局长、新闻发言人李斌介绍，8月，我国外汇市场平稳运行，外汇市场交易保持活跃；企业、个人等非银行部门跨境收支1.3万亿美元，同比增长8%。同时，外汇市场供求总体平衡。8月，跨境资金净流入32亿美元，银行结售汇顺差146亿美元。</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22</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0766B48D">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40A070CB">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2C745E45">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64B99A10">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37E0389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2F358841">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2B13B214">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6F576009">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740DBDE1">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054F90A7">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来源：新华网</w:t>
      </w:r>
    </w:p>
    <w:p w14:paraId="62BE613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阿根廷宣布暂时取消农产品出口预扣税</w:t>
      </w:r>
    </w:p>
    <w:p w14:paraId="5CB9700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阿根廷政府22日宣布，暂时取消谷物、牛肉、家禽肉等农产品出口预扣税。阿根廷总统发言人曼努埃尔·阿多尔尼表示，这一措施将持续至10月31日。</w:t>
      </w:r>
    </w:p>
    <w:p w14:paraId="2A207CC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阿根廷媒体报道，取消出口预扣税是为了推动该国农业部门出口更多农产品，以增加美元供给、稳定本币汇率。分析人士表示，阿根廷国会将于10月举行中期选举，暂时取消部分农产品出口预扣税有助于在选举前缓解外汇紧张局势。</w:t>
      </w:r>
    </w:p>
    <w:p w14:paraId="61F658AF">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近期，阿根廷金融市场持续动荡，阿根廷比索对美元汇率近一个月来大幅贬值，债券和股票市场也同步下跌。上周，阿根廷央行动用外汇储备对汇市进行干预。</w:t>
      </w:r>
    </w:p>
    <w:p w14:paraId="52EA333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pPr>
      <w:r>
        <w:rPr>
          <w:rFonts w:hint="default" w:ascii="微软雅黑" w:hAnsi="微软雅黑" w:eastAsia="微软雅黑" w:cs="微软雅黑"/>
          <w:b w:val="0"/>
          <w:bCs w:val="0"/>
          <w:kern w:val="2"/>
          <w:sz w:val="24"/>
          <w:szCs w:val="24"/>
          <w:lang w:val="en-US" w:eastAsia="zh-CN" w:bidi="ar-SA"/>
        </w:rPr>
        <w:t>阿根廷总统米莱7月宣布，将永久下调牛肉、家禽肉、玉米、高粱、葵花子、大豆及其副产品的农产品出口预扣税。其中，牛肉和家禽肉的税率从6.75%降至5%，玉米和高粱从12%降至9.5%，葵花子从7.5%降至5.5%，大豆从33%降至26%，大豆副产品从31%降至24.5%。</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23</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09E9DBE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pPr>
    </w:p>
    <w:p w14:paraId="5A9904F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pPr>
    </w:p>
    <w:p w14:paraId="66BE578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pPr>
    </w:p>
    <w:p w14:paraId="3DBD934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pPr>
    </w:p>
    <w:p w14:paraId="350BBCCD">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pPr>
    </w:p>
    <w:p w14:paraId="7E439477">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pPr>
    </w:p>
    <w:p w14:paraId="76969D86">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来源：央视新闻客户端</w:t>
      </w:r>
    </w:p>
    <w:p w14:paraId="7CB2233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单程18天！</w:t>
      </w:r>
    </w:p>
    <w:p w14:paraId="5FA3F735">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“中欧北极快航”开通，航运时效刷新纪录</w:t>
      </w:r>
    </w:p>
    <w:p w14:paraId="1614CF2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22日下午，“伊斯坦布尔桥”轮在宁波舟山港北一集司7号泊位完成超1000标准箱的集装箱装载作业，计划于23日凌晨启程经北极航道驶往英国最大集装箱港口弗利克斯托港，这标志着全球首条中欧北极集装箱快航航线（以下简称“中欧北极快航”）正式开通。</w:t>
      </w:r>
    </w:p>
    <w:p w14:paraId="70B2944F">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环球时报》记者了解，该航线取道北极东北航道，经白令海峡，单程18天左右，将刷新宁波至欧洲的航运时效纪录。多位人士对记者表示，北极航线既有经济效益，也有战略意义，可有效减少被封锁或限制的风险，也能推动贸易格局多元化发展，增强全球贸易体系应对风险的韧性。</w:t>
      </w:r>
    </w:p>
    <w:p w14:paraId="2B6AC14F">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了解，中欧北极快航航线一边串联起宁波、上海、青岛、大连等国内主要港口，另一边连接英国弗利克斯托港、荷兰鹿特丹港、德国汉堡港、波兰格但斯克港，是中国到欧洲主流基本港之间最快的集装箱航线，通过跨越北冰洋，极大缩短了航程和运输时间，为国内企业精准衔接欧洲圣诞季的备货高峰，提供了更多先机。</w:t>
      </w:r>
    </w:p>
    <w:p w14:paraId="5B62FF0A">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宁波海关所属大榭海关副关长周晓平22日对《环球时报》记者表示，此次船上装载的货物品类很多，既有日用品、服装、零部件等产品，也有储能柜、动力电池等“新三样”产品，抵达后将被运往欧洲各地。据宁波海关统计，欧盟目前是宁波口岸的第一大贸易伙伴，今年前8个月，宁波口岸对欧盟进出口总值达3307.4亿元，同比增长12%，约占宁波口岸进出口总值的18%。</w:t>
      </w:r>
    </w:p>
    <w:p w14:paraId="11C7526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海杰航运（香港）有限公司首席运营官李晓斌在接受采访时表示，相比传统航线，中欧北极快航航程短，运输效率高，物流供应链降本增效提速。“航线所经区域政治经济形势相对稳定，减少了海盗、拥堵以及战争波及风险等隐患，提升了航运公司船队航行的安全系数，打通冰上丝绸之路，确保中欧供应链第三通道安全。”李晓斌介绍说，在冬季非可航窗口期内，该公司将打造“东欧快航”产品，继续为客户提供最为便捷的中欧物流通道，推出经过苏伊士运河的“海运+铁路”的联运产品，可在25天内到达中欧班列各个通行的站点，实现两个季节航线的联动替代和持续发展。</w:t>
      </w:r>
    </w:p>
    <w:p w14:paraId="3DD35E4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作为货主，思格新能源股份有限公司物流采购经理周楚婧介绍说，该公司本次出口的是户用储能设备，货值大约30万美元/集装箱，将通过荷兰销往欧洲各地。“选择北极航线，主要原因是航程短，时效快，对整个营销链路有很大帮助。”</w:t>
      </w:r>
    </w:p>
    <w:p w14:paraId="7BDD4FB2">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2018年，《中国的北极政策》白皮书发布，明确指出中国愿依托北极航道的开发利用，与各方共建“冰上丝绸之路”。接受《环球时报》记者采访的人士表示，此次快航的开通，正是“冰上丝绸之路”落地实施的生动体现，是中国与各方北极合作成果向全球物流体系延展的重要实践。</w:t>
      </w:r>
    </w:p>
    <w:p w14:paraId="67A2C84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复旦大学中欧关系研究中心主任、上海欧洲学会副秘书长简军波22日对《环球时报》记者表示，中欧北极快航作为全球首条中欧间的北极集装箱快航航线，在新航路开发领域积累了宝贵经验。它是中国为国际社会贡献的一项重要公共产品，日本、韩国等亚洲国家未来也可以一起参与进来，与中国合作开发。“‘冰上丝绸之路’旨在共建国际航道，欢迎日韩等国商品借此通行，各方共同维护地区稳定，利好多方。”</w:t>
      </w:r>
    </w:p>
    <w:p w14:paraId="6A757797">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这条航线大大缩短了运输周期，对时效性强的货物和跨境电商具有很强的吸引力，而且北极航线航行环境相对稳定，受突发事件干扰的可能性更低，它可有效减少被封锁或限制的风险，保障运输自主性和安全性。从长远来讲，还能推动我国贸易格局多元化发展，增强全球贸易体系应对风险的韧性。”浙江海港物流集团有限公司党委书记、董事长孙雪君对《环球时报》记者表示，“中欧北极快航”的首发，也标志着宁波舟山港在全球航线网络上“最后一块拼图”被正式补齐。从太平洋、大西洋、印度洋到北冰洋，宁波舟山港全面贯通全球主要通航大洋，枢纽港地位将得到进一步巩固。</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23</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3847ADA4">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6C3A74A9">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1E1D07B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012234DC">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7667D25D">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1FD4A51">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47DB9ED">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18318F77">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4EE9A22F">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037096CF">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2AFE6F7">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5C74D6CF">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046D1679">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4C234F3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59FD274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4E09B70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C19960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04B2683">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来源：环球时报</w:t>
      </w:r>
    </w:p>
    <w:p w14:paraId="19C98A6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支撑比索，</w:t>
      </w:r>
    </w:p>
    <w:p w14:paraId="14086647">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阿根廷央行三天抛售11亿美元外汇储备</w:t>
      </w:r>
    </w:p>
    <w:p w14:paraId="00562A9F">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在总统米莱政治危机加剧之际，阿根廷央行斥资10亿美元捍卫比索汇率。”英国《金融时报》20日报道称，阿根廷央行在3天内抛售超10亿美元外汇储备，以支撑比索。官方数据显示，阿根廷央行上周五出售6.78亿美元硬通货储备，创2019年10月以来最高单日纪录。面对阿根廷比索汇率持续暴跌，该机构已于上周四和上周三分别出售了3.79亿美元和5300万美元硬通货储备。阿根廷经济部长路易斯·卡普托上周四对媒体表示，将“抛售至最后一美元”来捍卫比索汇率区间。但加速抛售美元仍令投资者质疑米莱能否维持当前汇率机制。</w:t>
      </w:r>
    </w:p>
    <w:p w14:paraId="4ABD61F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彭博社报道，阿根廷政府今年4月从国际货币基金组织(IMF)获得200亿美元贷款，作为贷款协议的一部分，阿根廷放宽了该国长期实施的货币管制，并引入了当前的汇率区间制度。过去两周比索几乎每个交易日都在下跌，甚至一度突破汇率区间，引发了阿根廷人的紧张情绪，“他们已经被一次又一次的货币崩溃所伤害，现在担心新的危机正在酝酿”。</w:t>
      </w:r>
    </w:p>
    <w:p w14:paraId="025A0BB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尽管阿根廷当局花费大量资金支撑比索，实施了更严格的交易管制，并试图向投资者保证他们不会允许比索暴跌，但到目前为止，政府的举措并没有让投资者放心。“投资者纷纷离场。”彭博社报道提到，在该媒体本月追踪的逾90个全球基准股指中，阿根廷标准普尔Merval指数表现很差。另据路透社报道，数据显示，阿根廷的国家风险指数（衡量投资者信心的指标）达到2024年8月以来的最高值，徘徊在1500个基点左右。</w:t>
      </w:r>
    </w:p>
    <w:p w14:paraId="30B10A4A">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彭博社报道，米莱于2023年底上任后不久，其大幅削减支出和全面经济改革政策就受到了投资者的欢迎。但随着他开始遭受政治挫折，影响了继续推动其议程的能力，该国的债券、股票和货币都出现了暴跌。据《金融时报》报道，过去两周，比索下跌了9%，原因主要是米莱领导的“自由前进党”在布宜诺斯艾利斯省的地方选举中遭遇惨败。</w:t>
      </w:r>
    </w:p>
    <w:p w14:paraId="46844AF2">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经济学家圣地亚哥·雷西科在上周四政府干预后表示，“按照目前的汇率，阿根廷政府将需要97.5亿美元来捍卫本币，直到大选。这对政府来说似乎成本太高，可能会导致政府对汇率机制做出改变。”路透社援引专家的话警告称，持续抛售美元可能会加速外汇储备枯竭，危及短期债务偿付，并引发债券发行增加，以弥补资金缺口。</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22</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3FD6BA99">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02A9653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4CFC5D0C">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6F396B1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349B15B">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B33F97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17C4B53C">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28182CE">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546A2D7F">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645F7900">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5B4E00D2">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0CDA77EE">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79F13627">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5E82A6FD">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216E6A45">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p>
    <w:p w14:paraId="21B4AC5D">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来源：环球网</w:t>
      </w:r>
    </w:p>
    <w:p w14:paraId="63F5E2F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美媒：</w:t>
      </w:r>
    </w:p>
    <w:p w14:paraId="124A7CD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加拿大外长计划未来几周内访华</w:t>
      </w:r>
    </w:p>
    <w:p w14:paraId="195FD244">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0" w:firstLineChars="0"/>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寻求缓解紧张关系</w:t>
      </w:r>
    </w:p>
    <w:p w14:paraId="7DDBAB8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据美国彭博社当地时间23日报道，加拿大外交部长阿南德将在未来几周内访问中国和印度，寻求改善与两国紧张关系。</w:t>
      </w:r>
    </w:p>
    <w:p w14:paraId="2F50AD9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阿南德在美国纽约举行的联合国大会期间接受采访时表示，加拿大必须“确保我们与‘印太地区’的重要经济大国的双边关系”。她还称，她将与中印讨论如何在近年来困扰加拿大与中印两国关系的问题上开展合作。阿南德表示，她计划在访问期间推进加拿大在贸易、气候变化、国防和安全方面的利益。</w:t>
      </w:r>
    </w:p>
    <w:p w14:paraId="0FF7403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彭博社分析称，加拿大前总理特鲁多任内发生的争端使加拿大与中美两国陷入紧张关系，现任总理卡尼正致力于缓和这种局面。与此同时，美国的贸易保护主义政策愈发凸显加拿大多元化贸易关系的必要性。而同时由于加拿大政府2024年10月以“保护本土产业”为由、跟随美国政策分两阶段对中国电动汽车和钢铝产品分别加征100%和25%的歧视性关税，中国自今年8月14日起对加拿大油菜籽采取临时反倾销措施，征收75.8%的保证金。围绕油菜籽、猪肉和海产品贸易，加拿大经济遭受了更大冲击。</w:t>
      </w:r>
    </w:p>
    <w:p w14:paraId="44E6539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据了解，加拿大是全球最大的油菜籽生产国和出口国，占据了全球油菜籽贸易量的50%以上，而中国一直是加拿大油菜籽出口的主要目的地。</w:t>
      </w:r>
    </w:p>
    <w:p w14:paraId="4322784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加拿大《环球邮报》称，中国征收临时保证金后，加拿大油菜籽出口成本飙升并失去了中国这个规模达49亿美元的全球第二大市场，加拿大西部地区4万名油菜籽种植户人均损失数万美元。在当前局面之下，加拿大西部省份施压联邦政府，要求取消对中国电动汽车的关税，以避免中国对加拿大油菜籽加征关税。卡尼本月3日表示，他将努力解决加拿大与中国围绕油菜籽引发的贸易争端。加拿大最大油菜籽生产省萨斯喀彻温省省长斯科特·莫伊也于本月访华，以推动中国取消对加拿大油菜籽征收的“惩罚性关税”。</w:t>
      </w:r>
    </w:p>
    <w:p w14:paraId="15998C5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围绕加拿大与印度持续不断的紧张关系，《印度快报》称，2023年9月，时任加总理的特鲁多公开指责印度政府与加拿大锡克教领袖尼贾尔遇刺有关。尼贾尔2023年6月在加境内遭枪杀。对此，印方予以否认。两国互相指责，驱逐对方外交官，印度还一度对加方人员停发签证，双边关系急剧恶化。但两国外交关系近日回暖，在相隔近10个月后于今年8月首次恢复向对方派遣外交人员。彭博社称，此举正值两国与美国关系日益紧张之际。</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24</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17DCF063">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77278BBD">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19AF86F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482FDE0B">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default" w:ascii="微软雅黑" w:hAnsi="微软雅黑" w:eastAsia="微软雅黑" w:cs="微软雅黑"/>
          <w:b w:val="0"/>
          <w:bCs w:val="0"/>
          <w:kern w:val="2"/>
          <w:sz w:val="24"/>
          <w:szCs w:val="24"/>
          <w:lang w:val="en-US" w:eastAsia="zh-CN" w:bidi="ar-SA"/>
        </w:rPr>
      </w:pPr>
    </w:p>
    <w:p w14:paraId="44EE654A">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348F9C6">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74A06AEF">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12317730">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E714CC0">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BABA38C">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06C59A25">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35C222B2">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6C39F592">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来源：环球时报</w:t>
      </w:r>
    </w:p>
    <w:p w14:paraId="6E93E718">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应对美国关税压力，或将产生示范效应</w:t>
      </w:r>
    </w:p>
    <w:p w14:paraId="616D4399">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欧盟印尼达成“近零关税”协议</w:t>
      </w:r>
    </w:p>
    <w:p w14:paraId="1AA1E8E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欧盟和印度尼西亚达成了一项‘近零关税’贸易协议。”彭博社22日报道称，在本届美国政府采取颠覆全球商业格局的行动之际，这一协议将促进欧盟和印尼之间的关系。美国《华尔街日报》23日对此也报道称，亚洲国家正在美国关税影响下重新“定位”自己。</w:t>
      </w:r>
    </w:p>
    <w:p w14:paraId="6219ACFD">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彭博社报道，该协议将在5年内将双方96%的商品关税降至零，预计这将使欧盟对印尼的出口增加至少30%，约合30亿欧元。此外，印尼对欧盟汽车征收的关税也将在5年内从50%降至零，而机械和电器的关税将在短期内从30%降至零。相关官员表示，农业和食品行业将从中受益。对于从欧盟出口的化学品等材料，该协议将取消许可和其他限制。不过，这项协议最终生效仍需获得欧盟成员国、欧洲议会以及印尼立法机构的批准。</w:t>
      </w:r>
    </w:p>
    <w:p w14:paraId="7A1CFC5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华尔街日报》报道说，自特朗普政府宣布对全球贸易伙伴加征关税以来，众多依赖出口的亚洲国家一直在采取行动，以适应新的贸易环境，减轻关税影响。与此同时，欧盟也将目光投向东南亚市场。欧盟正加快与越南、菲律宾和泰国等东南亚国家的贸易谈判。</w:t>
      </w:r>
    </w:p>
    <w:p w14:paraId="68B87CAD">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据《曼谷邮报》日前报道，欧盟与印度尼西亚这一贸易协议经过了近十年的谈判。这是欧盟为实现供应链多元化并开拓新市场而作出的努力之一。广西民族大学东盟学院副院长葛红亮23日接受《环球时报》记者采访时表示，印尼作为东南亚经济的领头羊，长期以来在东盟内部扮演着非常重要的角色，此类协议会对其他东南亚国家产生示范效应。欧盟跟印尼达成经贸层面的协议，短期内有望促进印尼的出口和投资增长。</w:t>
      </w:r>
    </w:p>
    <w:p w14:paraId="1DB66627">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“中国与东盟国家之间的贸易优势依然显著。” 葛红亮进一步表示，从地理上看，中国与东盟国家邻近，在市场层面，双方贸易往来基础牢固。此外，中国—东盟自贸区3.0版谈判已全面完成，强化了中国与东盟国家在经贸合作方面的制度性安排。印度尼西亚贸易部初级产品出口发展司司长弥夫达近日在接受《环球时报》记者采访时也表示，在中国—东盟自贸区3.0版助力下，印尼与中国的合作领域将进一步拓宽。</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24</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3C2CAD3D">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324CD52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2229D51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C5F6755">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7AFC6EC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4EA837B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5DC6CF84">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C36E654">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78D5E5D6">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8A560F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0AEA82A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74E6E7E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4E569E1">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3C9638AF">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76022ABE">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来源：中国经济网-《经济日报》</w:t>
      </w:r>
    </w:p>
    <w:p w14:paraId="40347681">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中国东盟农产品贸易互补优势凸显</w:t>
      </w:r>
    </w:p>
    <w:p w14:paraId="53B78E3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近年来，中国与东盟农产品贸易合作蓬勃发展，互补性优势不断凸显且加速释放，为双方经济发展注入强劲动力，在全球经济格局中展现出独特而重要的地位。</w:t>
      </w:r>
    </w:p>
    <w:p w14:paraId="2C0EF73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据海关总署统计，今年前8个月，我国对东盟进出口农产品2906亿元，同比增长9.7%，占我国农产品进出口总值的20.1%，东盟已连续8年保持我国农产品第一大贸易伙伴地位。我国与东盟贸易额已经从2004年首届中国—东盟博览会举办时的8700多亿元，增长到2024年的近7万亿元，增长了7倍，连续9年保持增长。即使面临复杂多变的全球经济形势，依然保持强劲增长活力，彰显出双方农产品贸易所蕴含的巨大潜力与韧性。</w:t>
      </w:r>
    </w:p>
    <w:p w14:paraId="7F9846E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中国与东盟的资源禀赋差异形成天然互补。东盟地处热带和亚热带地区，拥有丰富多样的热带农产品资源，橡胶、咖啡、可可、热带水果等产量居高不下。以榴莲为例，泰国、越南等国的榴莲因其独特风味和高品质深受中国消费者喜爱。2024年中国进口榴莲约156万吨，总价值69.9亿美元，创历史新高，其中近60%来自泰国。而中国地域广阔，横跨多个气候带，在温带和亚热带农产品生产领域优势显著，大米、小麦、玉米等粮食作物及家禽、畜产品等产量可观，能够满足东盟国家多样化的粮食消费和加工需求。</w:t>
      </w:r>
    </w:p>
    <w:p w14:paraId="7E88CD6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产业结构互补促进双方协同发展。中国的农业技术发展相对成熟，在农产品加工、饲料生产、农业机械化等方面表现出较强竞争力，能够向东盟国家出口先进的农业机械设备、优质的饲料产品等，助力其提升农业生产效率和加工水平。同时，东盟国家的农业以原材料生产和初加工为主，其生产的橡胶、棕榈油等初级农产品是中国制造业不可或缺的原材料，有利于中国轮胎制造、食品加工等行业的稳定生产。</w:t>
      </w:r>
    </w:p>
    <w:p w14:paraId="75DFF903">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市场需求契合推动了双边贸易的繁荣。中国庞大的消费市场为东盟农产品提供了广阔空间，随着生活水平的提高，中国消费者对热带水果、特色海鲜等东盟农产品的需求持续攀升。电商平台的兴起进一步拓展了东盟农产品进入中国市场的渠道，让更多特色农产品走进中国千家万户。另外，东盟国家对中国加工农产品和饲料的需求稳步增长，中国出口的高附加值农产品满足了东盟国家日益多样化的消费需求，也为当地养殖业提供了丰富选择。</w:t>
      </w:r>
    </w:p>
    <w:p w14:paraId="55E9589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贸易品类互补丰富了市场供给。双方在农产品贸易中各具特色优势，相互补充。东盟向中国出口的水果、木薯、棕榈油等品类，在中国市场上占据重要份额，丰富了中国的农产品市场种类，满足了国内不同消费群体的需求。中国向东盟出口的羽绒、动物饲料等特色农产品，在东盟市场也备受欢迎，为东盟相关产业提供了有力支持，这种品类上的互补性使得双方贸易合作不断深化拓展。</w:t>
      </w:r>
    </w:p>
    <w:p w14:paraId="57B40E54">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政策驱动与合作机制助力中国与东盟的互补性优势加速释放。《区域全面经济伙伴关系协定》（RCEP）的全面实施，为双方农产品贸易创造了有利条件，超90%的区域内贸易最终实现零关税，大大降低了贸易成本。中国与东盟国家积极落实原产地规则等政策举措，进一步简化贸易手续。随着中国—东盟自由贸易区3.0版升级谈判的实质性结束，双方将在数字经济、绿色经济等新兴领域及传统农业领域开展更广泛深入的合作。</w:t>
      </w:r>
    </w:p>
    <w:p w14:paraId="7E2F758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基础设施联通强化了贸易支撑。中老铁路的开通运营成为重要里程碑，截至9月19日，全线累计开行货物列车突破6万列，货运量超6760万吨，其中跨境货物运输突破1500万吨，货运量连续3年实现两位数增长。沿线冷链、仓储等配套设施不断完善，为东盟农产品运输提供了更便捷、高效、低成本的陆路通道。西部陆海新通道铁海联运班列不断加密，进一步强化了双方农产品贸易的物流保障。</w:t>
      </w:r>
    </w:p>
    <w:p w14:paraId="54549AA7">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展会与合作平台的桥梁作用不容低估。中国—东盟博览会作为重要经贸合作平台，每年吸引大量企业参展参会。在9月17日至21日举办的第22届中国—东盟博览会上，众多农产品企业集中展示特色农产品和先进技术，促进双方企业交流合作，达成众多贸易合同和投资项目。各类农产品专业展会、线上贸易平台等不断涌现，为贸易搭建起全方位、多层次的合作桥梁。</w:t>
      </w:r>
    </w:p>
    <w:p w14:paraId="480D8D4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展望未来，中国与东盟农产品贸易的互补性优势将在多方面进一步深化拓展。</w:t>
      </w:r>
    </w:p>
    <w:p w14:paraId="131AC8E2">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一是，数字经济将赋能贸易升级，电商平台深度融合将打破时空限制，大数据分析实现供需精准对接，溯源系统和智能仓储物流提升质量管控和配送效率。</w:t>
      </w:r>
    </w:p>
    <w:p w14:paraId="2021D31C">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二是，绿色经济将进一步拓展合作空间。在全球绿色发展理念引领下，双方在绿色农业、可持续发展领域的合作潜力巨大。中国在生态农业、有机种植等方面的技术经验可为东盟提供借鉴，而东盟良好的生态环境为发展绿色农产品提供优越条件，双方可共同开展绿色农产品认证和标准制定。</w:t>
      </w:r>
    </w:p>
    <w:p w14:paraId="69AFCD0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三是，供应链整合将提升区域竞争力。借助RCEP和中国—东盟自贸区3.0版的实施契机，双方将进一步整合区域农业供应链，通过加强产业链上下游合作，实现全产业链协同发展。这种深度整合将优化资源配置，提升生产效率，降低生产成本，增强双方在全球农业市场中的整体竞争力，推动区域农业经济一体化进程。</w:t>
      </w:r>
    </w:p>
    <w:p w14:paraId="6A7CEAEA">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中国与东盟农产品贸易互补性优势正以前所未有的速度加速释放。在数字经济、绿色经济等新兴因素推动下，双方农产品贸易有望迈向更高水平，为区域经济繁荣和全球农产品贸易稳定发展作出更大贡献，续写合作共赢的崭新篇章。</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25</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6EE078F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7BF50B4E">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default"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pPr>
      <w:r>
        <w:rPr>
          <w:rFonts w:hint="eastAsia" w:ascii="Microsoft YaHei UI" w:hAnsi="Microsoft YaHei UI" w:eastAsia="Microsoft YaHei UI" w:cs="Microsoft YaHei UI"/>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来源：环球时报</w:t>
      </w:r>
    </w:p>
    <w:p w14:paraId="293CA7A3">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center"/>
        <w:textAlignment w:val="auto"/>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pPr>
      <w:r>
        <w:rPr>
          <w:rFonts w:hint="default" w:ascii="Microsoft YaHei UI" w:hAnsi="Microsoft YaHei UI" w:eastAsia="Microsoft YaHei UI" w:cs="Microsoft YaHei UI"/>
          <w:b/>
          <w:bCs/>
          <w:color w:val="000000" w:themeColor="text1"/>
          <w:sz w:val="36"/>
          <w:szCs w:val="36"/>
          <w:lang w:val="en-US" w:eastAsia="zh-CN"/>
          <w14:textFill>
            <w14:solidFill>
              <w14:schemeClr w14:val="tx1"/>
            </w14:solidFill>
          </w14:textFill>
        </w:rPr>
        <w:t>经合组织上调2025年全球经济增长预期</w:t>
      </w:r>
    </w:p>
    <w:p w14:paraId="136C8A73">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23日，经济合作与发展组织（OECD）发布最新全球经济展望报告，上调2025年全球经济增长率预期至3.2%，较此前6月的预测上调了0.3个百分点，反映出各经济体表现比预期更具韧性。报告称，这一增长主要得益于美国的人工智能（AI）相关投资和中国的财政支出。</w:t>
      </w:r>
    </w:p>
    <w:p w14:paraId="6013F853">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从各国/地区2025年的增长率预测来看，美国为1.8%，较原先上调0.2个百分点，但较2024年的2.8%有所放缓。报告称，高关税政策及移民数量减少，抵消了旺盛的高科技投资带来的积极影响。经济减速迹象已然显现，例如失业率正持续攀升。</w:t>
      </w:r>
    </w:p>
    <w:p w14:paraId="662C149E">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default" w:ascii="微软雅黑" w:hAnsi="微软雅黑" w:eastAsia="微软雅黑" w:cs="微软雅黑"/>
          <w:b w:val="0"/>
          <w:bCs w:val="0"/>
          <w:kern w:val="2"/>
          <w:sz w:val="24"/>
          <w:szCs w:val="24"/>
          <w:lang w:val="en-US" w:eastAsia="zh-CN" w:bidi="ar-SA"/>
        </w:rPr>
      </w:pPr>
      <w:r>
        <w:rPr>
          <w:rFonts w:hint="default" w:ascii="微软雅黑" w:hAnsi="微软雅黑" w:eastAsia="微软雅黑" w:cs="微软雅黑"/>
          <w:b w:val="0"/>
          <w:bCs w:val="0"/>
          <w:kern w:val="2"/>
          <w:sz w:val="24"/>
          <w:szCs w:val="24"/>
          <w:lang w:val="en-US" w:eastAsia="zh-CN" w:bidi="ar-SA"/>
        </w:rPr>
        <w:t>OECD将欧元区增长率预测上调0.2个百分点至1.2%。当前欧元区政策利率已降至2%左右，通过连续降息，贸易摩擦带来的负面影响已得到部分缓解。</w:t>
      </w:r>
    </w:p>
    <w:p w14:paraId="35B4A35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新兴经济体也展现出比6月预期更强的韧性。OECD将中国经济增长预期上调0.2个百分点至4.9%，与2024年5%的增长水平基本持平。</w:t>
      </w:r>
    </w:p>
    <w:p w14:paraId="4627E5C2">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经合组织在报告中写道，2025年上半年全球经济增长韧性超出预期，这得益于多重积极因素的叠加：受关税上调前 “提前备货”（企业为规避后续关税成本提前扩大生产与贸易）的推动，工业生产与贸易活动获得支撑。美国强劲的AI相关投资拉动了经济表现，而中国的财政支持则抵消了贸易阻力等带来的下行压力。</w:t>
      </w:r>
    </w:p>
    <w:p w14:paraId="4A680886">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不过，OECD警告称，尽管全球经济当前展现韧性，但经济前景仍面临重大风险。自5月以来，美国对几乎所有国家的双边关税税率均有所上调。截至 8 月末，美国平均有效关税税率预计已升至19.5%，为1933年以来的最高水平。关税上调的全面冲击尚未完全显现：诸多关税调整措施正逐步落地，企业初期也通过压缩利润吸收了部分关税成本，但在支出选择、劳动力市场及消费价格等领域，其影响已日益凸显。展望未来，OECD指出，若关税进一步上升或通胀再度抬头，将构成主要风险。</w:t>
      </w:r>
    </w:p>
    <w:p w14:paraId="36F3F810">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此外，报告提及，全球财政状况恶化、金融市场重新定价，以及加密资产估值剧烈波动引发的金融稳定风险，均是潜在挑战。</w:t>
      </w:r>
    </w:p>
    <w:p w14:paraId="4BAEEFD3">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 xml:space="preserve">在接受《日本经济新闻》采访时，OECD首席经济学家阿尔瓦罗将财政风险列为全球经济的主要担忧之一。他指出：“当前各国在国防开支、老龄化应对等领域的支出不断增加。而全球多国国债收益率持续上升，正是投资者对未来风险加剧心存担忧的直接证据。”     </w:t>
      </w:r>
    </w:p>
    <w:p w14:paraId="0A235F14">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r>
        <w:rPr>
          <w:rFonts w:hint="eastAsia" w:ascii="微软雅黑" w:hAnsi="微软雅黑" w:eastAsia="微软雅黑" w:cs="微软雅黑"/>
          <w:b w:val="0"/>
          <w:bCs w:val="0"/>
          <w:kern w:val="2"/>
          <w:sz w:val="24"/>
          <w:szCs w:val="24"/>
          <w:lang w:val="en-US" w:eastAsia="zh-CN" w:bidi="ar-SA"/>
        </w:rPr>
        <w:t>OECD预测，2026年全球经济增长率将放缓至2.9%，美国经济增长率则从1.8%放缓至1.5%。</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（2025-</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09</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r>
        <w:rPr>
          <w:rFonts w:hint="eastAsia" w:ascii="Microsoft YaHei UI" w:hAnsi="Microsoft YaHei UI" w:eastAsia="Microsoft YaHei UI" w:cs="Microsoft YaHei UI"/>
          <w:color w:val="808080" w:themeColor="text1" w:themeTint="80"/>
          <w:sz w:val="24"/>
          <w:szCs w:val="24"/>
          <w:lang w:val="en-US" w:eastAsia="zh-CN"/>
          <w14:textFill>
            <w14:solidFill>
              <w14:schemeClr w14:val="tx1">
                <w14:lumMod w14:val="50000"/>
                <w14:lumOff w14:val="50000"/>
              </w14:schemeClr>
            </w14:solidFill>
          </w14:textFill>
        </w:rPr>
        <w:t>25</w:t>
      </w:r>
      <w:r>
        <w:rPr>
          <w:rFonts w:hint="eastAsia" w:ascii="Microsoft YaHei UI" w:hAnsi="Microsoft YaHei UI" w:eastAsia="Microsoft YaHei UI" w:cs="Microsoft YaHei UI"/>
          <w:color w:val="808080" w:themeColor="text1" w:themeTint="80"/>
          <w:sz w:val="24"/>
          <w:szCs w:val="24"/>
          <w14:textFill>
            <w14:solidFill>
              <w14:schemeClr w14:val="tx1">
                <w14:lumMod w14:val="50000"/>
                <w14:lumOff w14:val="50000"/>
              </w14:schemeClr>
            </w14:solidFill>
          </w14:textFill>
        </w:rPr>
        <w:t>）</w:t>
      </w:r>
    </w:p>
    <w:p w14:paraId="21BA0E7B">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2192D823">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2FF5333A">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987D5B5">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000BD5C5">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56021029">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301C7F0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26E342CD">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4E9D2928">
      <w:pPr>
        <w:pStyle w:val="6"/>
        <w:keepNext w:val="0"/>
        <w:keepLines w:val="0"/>
        <w:pageBreakBefore w:val="0"/>
        <w:widowControl/>
        <w:suppressLineNumbers w:val="0"/>
        <w:kinsoku/>
        <w:wordWrap/>
        <w:overflowPunct/>
        <w:topLinePunct w:val="0"/>
        <w:autoSpaceDE/>
        <w:autoSpaceDN/>
        <w:bidi w:val="0"/>
        <w:adjustRightInd/>
        <w:snapToGrid/>
        <w:spacing w:line="368" w:lineRule="atLeast"/>
        <w:ind w:firstLine="480" w:firstLineChars="200"/>
        <w:jc w:val="left"/>
        <w:textAlignment w:val="auto"/>
        <w:rPr>
          <w:rFonts w:hint="eastAsia" w:ascii="微软雅黑" w:hAnsi="微软雅黑" w:eastAsia="微软雅黑" w:cs="微软雅黑"/>
          <w:b w:val="0"/>
          <w:bCs w:val="0"/>
          <w:kern w:val="2"/>
          <w:sz w:val="24"/>
          <w:szCs w:val="24"/>
          <w:lang w:val="en-US" w:eastAsia="zh-CN" w:bidi="ar-SA"/>
        </w:rPr>
      </w:pPr>
    </w:p>
    <w:p w14:paraId="6D99C387">
      <w:pPr>
        <w:pStyle w:val="6"/>
        <w:keepNext w:val="0"/>
        <w:keepLines w:val="0"/>
        <w:pageBreakBefore w:val="0"/>
        <w:widowControl/>
        <w:suppressLineNumbers w:val="0"/>
        <w:kinsoku/>
        <w:wordWrap/>
        <w:overflowPunct/>
        <w:topLinePunct w:val="0"/>
        <w:autoSpaceDE/>
        <w:autoSpaceDN/>
        <w:bidi w:val="0"/>
        <w:adjustRightInd/>
        <w:snapToGrid/>
        <w:spacing w:line="368" w:lineRule="atLeast"/>
        <w:jc w:val="left"/>
        <w:textAlignment w:val="auto"/>
        <w:rPr>
          <w:rFonts w:hint="eastAsia" w:ascii="微软雅黑" w:hAnsi="微软雅黑" w:eastAsia="微软雅黑" w:cs="微软雅黑"/>
          <w:b w:val="0"/>
          <w:bCs w:val="0"/>
          <w:kern w:val="2"/>
          <w:sz w:val="24"/>
          <w:szCs w:val="24"/>
          <w:lang w:val="en-US" w:eastAsia="zh-CN" w:bidi="ar-SA"/>
        </w:rPr>
      </w:pPr>
    </w:p>
    <w:p w14:paraId="2A1758F5">
      <w:pPr>
        <w:keepNext w:val="0"/>
        <w:keepLines w:val="0"/>
        <w:pageBreakBefore w:val="0"/>
        <w:widowControl w:val="0"/>
        <w:kinsoku/>
        <w:wordWrap/>
        <w:overflowPunct/>
        <w:topLinePunct w:val="0"/>
        <w:autoSpaceDE/>
        <w:autoSpaceDN/>
        <w:bidi w:val="0"/>
        <w:adjustRightInd/>
        <w:snapToGrid/>
        <w:spacing w:after="157" w:afterLines="50"/>
        <w:textAlignment w:val="auto"/>
      </w:pPr>
      <w:r>
        <w:rPr>
          <w:rFonts w:hint="eastAsia" w:ascii="微软雅黑" w:hAnsi="微软雅黑" w:eastAsia="微软雅黑" w:cs="微软雅黑"/>
          <w:b/>
          <w:bCs/>
          <w:color w:val="C55E10" w:themeColor="accent2" w:themeShade="BF"/>
          <w:sz w:val="28"/>
          <w:szCs w:val="28"/>
          <w:lang w:val="en-US" w:eastAsia="zh-CN"/>
          <w14:textFill>
            <w14:gradFill>
              <w14:gsLst>
                <w14:gs w14:pos="51300">
                  <w14:srgbClr w14:val="4888CF"/>
                </w14:gs>
                <w14:gs w14:pos="0">
                  <w14:srgbClr w14:val="95D2FF"/>
                </w14:gs>
                <w14:gs w14:pos="95000">
                  <w14:srgbClr w14:val="3965A3"/>
                </w14:gs>
              </w14:gsLst>
              <w14:lin w14:ang="5400000" w14:scaled="1"/>
            </w14:gradFill>
          </w14:textFill>
        </w:rPr>
        <w:t>动物疫情</w:t>
      </w:r>
    </w:p>
    <w:p w14:paraId="77154392">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Chars="0" w:right="0" w:rightChars="0"/>
        <w:jc w:val="both"/>
        <w:rPr>
          <w:rFonts w:hint="eastAsia" w:ascii="微软雅黑" w:hAnsi="微软雅黑" w:eastAsia="微软雅黑" w:cs="微软雅黑"/>
          <w:b/>
          <w:bCs/>
          <w:sz w:val="24"/>
          <w:szCs w:val="24"/>
          <w:lang w:val="en-US" w:eastAsia="zh-CN"/>
        </w:rPr>
      </w:pPr>
      <w:r>
        <w:drawing>
          <wp:inline distT="0" distB="0" distL="114300" distR="114300">
            <wp:extent cx="5905500" cy="1117600"/>
            <wp:effectExtent l="0" t="0" r="0" b="6350"/>
            <wp:docPr id="2" name="图片 1" descr="标题 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标题 副本1"/>
                    <pic:cNvPicPr>
                      <a:picLocks noChangeAspect="1"/>
                    </pic:cNvPicPr>
                  </pic:nvPicPr>
                  <pic:blipFill>
                    <a:blip r:embed="rId7"/>
                    <a:stretch>
                      <a:fillRect/>
                    </a:stretch>
                  </pic:blipFill>
                  <pic:spPr>
                    <a:xfrm>
                      <a:off x="0" y="0"/>
                      <a:ext cx="5905500" cy="1117600"/>
                    </a:xfrm>
                    <a:prstGeom prst="rect">
                      <a:avLst/>
                    </a:prstGeom>
                  </pic:spPr>
                </pic:pic>
              </a:graphicData>
            </a:graphic>
          </wp:inline>
        </w:drawing>
      </w:r>
    </w:p>
    <w:p w14:paraId="5929D94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1. 波兰发生60起野猪非洲猪瘟疫情 </w:t>
      </w:r>
    </w:p>
    <w:p w14:paraId="493621E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9月15、17、19日，波兰通报西滨海省等5地发生60起野猪非洲猪瘟疫情，68头野猪感染死亡。</w:t>
      </w:r>
    </w:p>
    <w:p w14:paraId="0578C96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2. 意大利发生1起野猪非洲猪瘟疫情 </w:t>
      </w:r>
    </w:p>
    <w:p w14:paraId="22C619D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 xml:space="preserve">9月17日，意大利通报利古里亚大区发生1起野猪非洲猪瘟疫情，1头野猪感染死亡。 </w:t>
      </w:r>
    </w:p>
    <w:p w14:paraId="053566D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84"/>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 </w:t>
      </w:r>
      <w:r>
        <w:drawing>
          <wp:inline distT="0" distB="0" distL="114300" distR="114300">
            <wp:extent cx="5905500" cy="1117600"/>
            <wp:effectExtent l="0" t="0" r="0" b="6350"/>
            <wp:docPr id="5" name="图片 4" descr="标题 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标题 副本2"/>
                    <pic:cNvPicPr>
                      <a:picLocks noChangeAspect="1"/>
                    </pic:cNvPicPr>
                  </pic:nvPicPr>
                  <pic:blipFill>
                    <a:blip r:embed="rId8"/>
                    <a:stretch>
                      <a:fillRect/>
                    </a:stretch>
                  </pic:blipFill>
                  <pic:spPr>
                    <a:xfrm>
                      <a:off x="0" y="0"/>
                      <a:ext cx="5905500" cy="1117600"/>
                    </a:xfrm>
                    <a:prstGeom prst="rect">
                      <a:avLst/>
                    </a:prstGeom>
                  </pic:spPr>
                </pic:pic>
              </a:graphicData>
            </a:graphic>
          </wp:inline>
        </w:drawing>
      </w:r>
    </w:p>
    <w:p w14:paraId="495CAB0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w:t>
      </w:r>
      <w:r>
        <w:rPr>
          <w:rFonts w:hint="default" w:ascii="微软雅黑" w:hAnsi="微软雅黑" w:eastAsia="微软雅黑" w:cs="微软雅黑"/>
          <w:b/>
          <w:bCs/>
          <w:sz w:val="24"/>
          <w:szCs w:val="24"/>
          <w:lang w:val="en-US" w:eastAsia="zh-CN"/>
        </w:rPr>
        <w:t>. 挪威发生2起野禽H5N1亚型高致病性禽流感疫情 </w:t>
      </w:r>
    </w:p>
    <w:p w14:paraId="7B7CDB0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9月15、17日，挪威通报诺尔兰郡等2地发生2起野禽H5N1亚型高致病性禽流感疫情，2只野禽感染死亡。 </w:t>
      </w:r>
    </w:p>
    <w:p w14:paraId="61095D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4</w:t>
      </w:r>
      <w:r>
        <w:rPr>
          <w:rFonts w:hint="default" w:ascii="微软雅黑" w:hAnsi="微软雅黑" w:eastAsia="微软雅黑" w:cs="微软雅黑"/>
          <w:b/>
          <w:bCs/>
          <w:sz w:val="24"/>
          <w:szCs w:val="24"/>
          <w:lang w:val="en-US" w:eastAsia="zh-CN"/>
        </w:rPr>
        <w:t xml:space="preserve">. 美国发生1起野禽和3起家禽H5N1亚型高致病性禽流感疫情 </w:t>
      </w:r>
    </w:p>
    <w:p w14:paraId="678726F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 xml:space="preserve">9月19日，美国通报佐治亚州等3地发生1起野禽和3起家禽H5N1亚型高致病性禽流感疫情，5只散养家禽感染死亡，40只被扑杀，347只家禽感染死亡，14.3万只被扑杀。 </w:t>
      </w:r>
    </w:p>
    <w:p w14:paraId="04DEEA4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right="0"/>
        <w:jc w:val="both"/>
        <w:rPr>
          <w:rFonts w:hint="default" w:ascii="微软雅黑" w:hAnsi="微软雅黑" w:eastAsia="微软雅黑" w:cs="微软雅黑"/>
          <w:b w:val="0"/>
          <w:bCs w:val="0"/>
          <w:sz w:val="24"/>
          <w:szCs w:val="24"/>
          <w:lang w:val="en-US" w:eastAsia="zh-CN"/>
        </w:rPr>
      </w:pPr>
    </w:p>
    <w:p w14:paraId="4827DD97">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Chars="0" w:right="0" w:rightChars="0"/>
        <w:jc w:val="both"/>
        <w:rPr>
          <w:rFonts w:hint="default" w:ascii="微软雅黑" w:hAnsi="微软雅黑" w:eastAsia="微软雅黑" w:cs="微软雅黑"/>
          <w:b w:val="0"/>
          <w:bCs w:val="0"/>
          <w:sz w:val="24"/>
          <w:szCs w:val="24"/>
          <w:lang w:val="en-US" w:eastAsia="zh-CN"/>
        </w:rPr>
      </w:pPr>
      <w:r>
        <w:drawing>
          <wp:inline distT="0" distB="0" distL="114300" distR="114300">
            <wp:extent cx="5905500" cy="1117600"/>
            <wp:effectExtent l="0" t="0" r="0" b="6350"/>
            <wp:docPr id="3" name="图片 2" descr="标题 副本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标题 副本3"/>
                    <pic:cNvPicPr>
                      <a:picLocks noChangeAspect="1"/>
                    </pic:cNvPicPr>
                  </pic:nvPicPr>
                  <pic:blipFill>
                    <a:blip r:embed="rId9"/>
                    <a:stretch>
                      <a:fillRect/>
                    </a:stretch>
                  </pic:blipFill>
                  <pic:spPr>
                    <a:xfrm>
                      <a:off x="0" y="0"/>
                      <a:ext cx="5905500" cy="1117600"/>
                    </a:xfrm>
                    <a:prstGeom prst="rect">
                      <a:avLst/>
                    </a:prstGeom>
                  </pic:spPr>
                </pic:pic>
              </a:graphicData>
            </a:graphic>
          </wp:inline>
        </w:drawing>
      </w:r>
    </w:p>
    <w:p w14:paraId="780194BD">
      <w:pPr>
        <w:keepNext w:val="0"/>
        <w:keepLines w:val="0"/>
        <w:pageBreakBefore w:val="0"/>
        <w:widowControl w:val="0"/>
        <w:numPr>
          <w:ilvl w:val="0"/>
          <w:numId w:val="0"/>
        </w:numPr>
        <w:kinsoku/>
        <w:wordWrap/>
        <w:overflowPunct/>
        <w:topLinePunct w:val="0"/>
        <w:autoSpaceDE/>
        <w:autoSpaceDN/>
        <w:bidi w:val="0"/>
        <w:adjustRightInd/>
        <w:snapToGrid/>
        <w:spacing w:after="157" w:afterLines="50"/>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5.</w:t>
      </w:r>
      <w:r>
        <w:rPr>
          <w:rFonts w:hint="default" w:ascii="微软雅黑" w:hAnsi="微软雅黑" w:eastAsia="微软雅黑" w:cs="微软雅黑"/>
          <w:b/>
          <w:bCs/>
          <w:sz w:val="24"/>
          <w:szCs w:val="24"/>
          <w:lang w:val="en-US" w:eastAsia="zh-CN"/>
        </w:rPr>
        <w:t xml:space="preserve"> 波兰发生2起3型蓝舌病疫情 </w:t>
      </w:r>
    </w:p>
    <w:p w14:paraId="4A14DD3F">
      <w:pPr>
        <w:keepNext w:val="0"/>
        <w:keepLines w:val="0"/>
        <w:pageBreakBefore w:val="0"/>
        <w:widowControl w:val="0"/>
        <w:numPr>
          <w:ilvl w:val="0"/>
          <w:numId w:val="0"/>
        </w:numPr>
        <w:kinsoku/>
        <w:wordWrap/>
        <w:overflowPunct/>
        <w:topLinePunct w:val="0"/>
        <w:autoSpaceDE/>
        <w:autoSpaceDN/>
        <w:bidi w:val="0"/>
        <w:adjustRightInd/>
        <w:snapToGrid/>
        <w:spacing w:after="157" w:afterLines="50"/>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 xml:space="preserve">9月15日，波兰通报下西里西亚省等2地发生2起3型蓝舌病疫情，4头牛感染，2头死亡。 </w:t>
      </w:r>
    </w:p>
    <w:p w14:paraId="039F2669">
      <w:pPr>
        <w:keepNext w:val="0"/>
        <w:keepLines w:val="0"/>
        <w:pageBreakBefore w:val="0"/>
        <w:widowControl w:val="0"/>
        <w:numPr>
          <w:ilvl w:val="0"/>
          <w:numId w:val="1"/>
        </w:numPr>
        <w:kinsoku/>
        <w:wordWrap/>
        <w:overflowPunct/>
        <w:topLinePunct w:val="0"/>
        <w:autoSpaceDE/>
        <w:autoSpaceDN/>
        <w:bidi w:val="0"/>
        <w:adjustRightInd/>
        <w:snapToGrid/>
        <w:spacing w:after="157" w:afterLines="50"/>
        <w:textAlignment w:val="auto"/>
        <w:rPr>
          <w:rFonts w:hint="default" w:ascii="微软雅黑" w:hAnsi="微软雅黑" w:eastAsia="微软雅黑" w:cs="微软雅黑"/>
          <w:b/>
          <w:bCs/>
          <w:sz w:val="24"/>
          <w:szCs w:val="24"/>
          <w:lang w:val="en-US" w:eastAsia="zh-CN"/>
        </w:rPr>
      </w:pPr>
      <w:r>
        <w:rPr>
          <w:rFonts w:hint="default" w:ascii="微软雅黑" w:hAnsi="微软雅黑" w:eastAsia="微软雅黑" w:cs="微软雅黑"/>
          <w:b/>
          <w:bCs/>
          <w:sz w:val="24"/>
          <w:szCs w:val="24"/>
          <w:lang w:val="en-US" w:eastAsia="zh-CN"/>
        </w:rPr>
        <w:t xml:space="preserve">西班牙发生2起炭疽疫情 </w:t>
      </w:r>
    </w:p>
    <w:p w14:paraId="00B7DDE1">
      <w:pPr>
        <w:keepNext w:val="0"/>
        <w:keepLines w:val="0"/>
        <w:pageBreakBefore w:val="0"/>
        <w:widowControl w:val="0"/>
        <w:numPr>
          <w:ilvl w:val="0"/>
          <w:numId w:val="0"/>
        </w:numPr>
        <w:kinsoku/>
        <w:wordWrap/>
        <w:overflowPunct/>
        <w:topLinePunct w:val="0"/>
        <w:autoSpaceDE/>
        <w:autoSpaceDN/>
        <w:bidi w:val="0"/>
        <w:adjustRightInd/>
        <w:snapToGrid/>
        <w:spacing w:after="157" w:afterLines="50"/>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 xml:space="preserve">9月18日，西班牙通报埃斯特雷马杜拉自治区发生2起炭疽疫情，11头牛感染死亡。 </w:t>
      </w:r>
    </w:p>
    <w:p w14:paraId="6015BFFC">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Chars="0" w:right="0" w:rightChars="0"/>
        <w:jc w:val="both"/>
        <w:rPr>
          <w:rFonts w:hint="default" w:ascii="微软雅黑" w:hAnsi="微软雅黑" w:eastAsia="微软雅黑" w:cs="微软雅黑"/>
          <w:b w:val="0"/>
          <w:bCs w:val="0"/>
          <w:sz w:val="24"/>
          <w:szCs w:val="24"/>
          <w:lang w:val="en-US" w:eastAsia="zh-CN"/>
        </w:rPr>
      </w:pPr>
    </w:p>
    <w:sectPr>
      <w:pgSz w:w="10800" w:h="19202"/>
      <w:pgMar w:top="1100" w:right="1293" w:bottom="110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1" w:fontKey="{D47FA2B5-CB6E-4475-9727-0968E5301F3D}"/>
  </w:font>
  <w:font w:name="汉仪雅酷黑W">
    <w:panose1 w:val="00020600040101010101"/>
    <w:charset w:val="86"/>
    <w:family w:val="auto"/>
    <w:pitch w:val="default"/>
    <w:sig w:usb0="A00002BF" w:usb1="1AC17CFA" w:usb2="00000016" w:usb3="00000000" w:csb0="0004009F" w:csb1="DFD70000"/>
    <w:embedRegular r:id="rId2" w:fontKey="{BFA009D8-C5C6-4643-9568-2C7C40F9C83C}"/>
  </w:font>
  <w:font w:name="Microsoft YaHei UI">
    <w:panose1 w:val="020B0503020204020204"/>
    <w:charset w:val="86"/>
    <w:family w:val="auto"/>
    <w:pitch w:val="default"/>
    <w:sig w:usb0="80000287" w:usb1="2ACF3C50" w:usb2="00000016" w:usb3="00000000" w:csb0="0004001F" w:csb1="00000000"/>
    <w:embedRegular r:id="rId3" w:fontKey="{56DFA4CC-8250-454F-B113-C9E936D14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565F7">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728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FE728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1003B">
    <w:pPr>
      <w:pStyle w:val="5"/>
      <w:rPr>
        <w:rFonts w:hint="default"/>
        <w:lang w:val="en-US" w:eastAsia="zh-CN"/>
      </w:rPr>
    </w:pPr>
    <w: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6834505" cy="551180"/>
              <wp:effectExtent l="0" t="0" r="0" b="0"/>
              <wp:wrapNone/>
              <wp:docPr id="9" name="文本框 8"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073102&quot;,&quot;origin&quot;:0,&quot;type&quot;:&quot;wordart&quot;,&quot;user&quot;:&quot;1120592961&quot;}"/>
                    </s:tag>
                  </a:ext>
                </a:extLst>
              </wp:cNvGraphicFramePr>
              <a:graphic xmlns:a="http://schemas.openxmlformats.org/drawingml/2006/main">
                <a:graphicData uri="http://schemas.microsoft.com/office/word/2010/wordprocessingShape">
                  <wps:wsp>
                    <wps:cNvSpPr txBox="1"/>
                    <wps:spPr>
                      <a:xfrm>
                        <a:off x="0" y="0"/>
                        <a:ext cx="6834505" cy="551180"/>
                      </a:xfrm>
                      <a:prstGeom prst="rect">
                        <a:avLst/>
                      </a:prstGeom>
                      <a:noFill/>
                    </wps:spPr>
                    <wps:txbx>
                      <w:txbxContent>
                        <w:p w14:paraId="19220DB7">
                          <w:pPr>
                            <w:pStyle w:val="6"/>
                            <w:kinsoku/>
                            <w:ind w:left="0"/>
                            <w:jc w:val="center"/>
                            <w:rPr>
                              <w:rFonts w:hint="default" w:eastAsia="宋体"/>
                              <w:sz w:val="28"/>
                              <w:szCs w:val="28"/>
                              <w:lang w:val="en-US" w:eastAsia="zh-CN"/>
                            </w:rPr>
                          </w:pPr>
                          <w:r>
                            <w:rPr>
                              <w:rFonts w:hint="eastAsia" w:ascii="汉仪雅酷黑W" w:hAnsi="汉仪雅酷黑W" w:eastAsia="汉仪雅酷黑W" w:cs="汉仪雅酷黑W"/>
                              <w:b/>
                              <w:bCs/>
                              <w:i w:val="0"/>
                              <w:iCs w:val="0"/>
                              <w:color w:val="FFFFFF" w:themeColor="background1"/>
                              <w:kern w:val="24"/>
                              <w:sz w:val="44"/>
                              <w:szCs w:val="44"/>
                              <w:lang w:val="en-US" w:eastAsia="zh-CN"/>
                              <w14:glow w14:rad="0">
                                <w14:srgbClr w14:val="FFFFFF"/>
                              </w14:glow>
                              <w14:shadow w14:blurRad="0" w14:dist="0" w14:dir="0" w14:sx="100000" w14:sy="100000" w14:kx="0" w14:ky="0" w14:algn="b">
                                <w14:srgbClr w14:val="FFFFFF"/>
                              </w14:shadow>
                              <w14:reflection w14:blurRad="0" w14:stA="100000" w14:stPos="0" w14:endA="0" w14:endPos="100000" w14:dist="0" w14:dir="0" w14:fadeDir="5400000" w14:sx="100000" w14:sy="100000" w14:kx="0" w14:algn="b"/>
                              <w14:textFill>
                                <w14:solidFill>
                                  <w14:schemeClr w14:val="bg1"/>
                                </w14:solidFill>
                              </w14:textFill>
                              <w14:props3d w14:extrusionH="0" w14:contourW="0" w14:prstMaterial="clear"/>
                            </w:rPr>
                            <w:t xml:space="preserve"> NEWS</w:t>
                          </w:r>
                          <w:r>
                            <w:rPr>
                              <w:rFonts w:hint="eastAsia" w:ascii="微软雅黑" w:eastAsia="微软雅黑" w:hAnsiTheme="minorBidi"/>
                              <w:b/>
                              <w:color w:val="FFFFFF" w:themeColor="background1"/>
                              <w:kern w:val="24"/>
                              <w:sz w:val="44"/>
                              <w:szCs w:val="44"/>
                              <w:lang w:val="en-US" w:eastAsia="zh-CN"/>
                              <w14:textFill>
                                <w14:solidFill>
                                  <w14:schemeClr w14:val="bg1"/>
                                </w14:solidFill>
                              </w14:textFill>
                            </w:rPr>
                            <w:t xml:space="preserve">                          </w:t>
                          </w:r>
                          <w:r>
                            <w:rPr>
                              <w:rFonts w:hint="eastAsia" w:ascii="微软雅黑" w:eastAsia="微软雅黑" w:hAnsiTheme="minorBidi"/>
                              <w:b/>
                              <w:color w:val="FFFFFF" w:themeColor="background1"/>
                              <w:kern w:val="24"/>
                              <w:sz w:val="28"/>
                              <w:szCs w:val="28"/>
                              <w:lang w:val="en-US" w:eastAsia="zh-CN"/>
                              <w14:textFill>
                                <w14:solidFill>
                                  <w14:schemeClr w14:val="bg1"/>
                                </w14:solidFill>
                              </w14:textFill>
                            </w:rPr>
                            <w:t>博视天下 · 静观世界</w:t>
                          </w:r>
                        </w:p>
                      </w:txbxContent>
                    </wps:txbx>
                    <wps:bodyPr wrap="square" rtlCol="0">
                      <a:noAutofit/>
                    </wps:bodyPr>
                  </wps:wsp>
                </a:graphicData>
              </a:graphic>
            </wp:anchor>
          </w:drawing>
        </mc:Choice>
        <mc:Fallback>
          <w:pict>
            <v:shape id="文本框 8" o:spid="_x0000_s1026" o:spt="202" alt="7b0a2020202022776f7264617274223a2022220a7d0a" type="#_x0000_t202" style="position:absolute;left:0pt;height:43.4pt;width:538.15pt;mso-position-horizontal:left;mso-position-horizontal-relative:page;mso-position-vertical:top;mso-position-vertical-relative:page;z-index:251660288;mso-width-relative:page;mso-height-relative:page;" filled="f" stroked="f" coordsize="21600,21600" o:gfxdata="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nVpztMAAAAFAQAADwAAAAAA&#10;AAABACAAAAAiAAAAZHJzL2Rvd25yZXYueG1sUEsBAhQAFAAAAAgAh07iQNAa/qbfAQAAkgMAAA4A&#10;AAAAAAAAAQAgAAAAIgEAAGRycy9lMm9Eb2MueG1sUEsFBgAAAAAGAAYAWQEAAHMFAAAAAA==&#10;">
              <v:fill on="f" focussize="0,0"/>
              <v:stroke on="f"/>
              <v:imagedata o:title=""/>
              <o:lock v:ext="edit" aspectratio="f"/>
              <v:textbox>
                <w:txbxContent>
                  <w:p w14:paraId="19220DB7">
                    <w:pPr>
                      <w:pStyle w:val="6"/>
                      <w:kinsoku/>
                      <w:ind w:left="0"/>
                      <w:jc w:val="center"/>
                      <w:rPr>
                        <w:rFonts w:hint="default" w:eastAsia="宋体"/>
                        <w:sz w:val="28"/>
                        <w:szCs w:val="28"/>
                        <w:lang w:val="en-US" w:eastAsia="zh-CN"/>
                      </w:rPr>
                    </w:pPr>
                    <w:r>
                      <w:rPr>
                        <w:rFonts w:hint="eastAsia" w:ascii="汉仪雅酷黑W" w:hAnsi="汉仪雅酷黑W" w:eastAsia="汉仪雅酷黑W" w:cs="汉仪雅酷黑W"/>
                        <w:b/>
                        <w:bCs/>
                        <w:i w:val="0"/>
                        <w:iCs w:val="0"/>
                        <w:color w:val="FFFFFF" w:themeColor="background1"/>
                        <w:kern w:val="24"/>
                        <w:sz w:val="44"/>
                        <w:szCs w:val="44"/>
                        <w:lang w:val="en-US" w:eastAsia="zh-CN"/>
                        <w14:glow w14:rad="0">
                          <w14:srgbClr w14:val="FFFFFF"/>
                        </w14:glow>
                        <w14:shadow w14:blurRad="0" w14:dist="0" w14:dir="0" w14:sx="100000" w14:sy="100000" w14:kx="0" w14:ky="0" w14:algn="b">
                          <w14:srgbClr w14:val="FFFFFF"/>
                        </w14:shadow>
                        <w14:reflection w14:blurRad="0" w14:stA="100000" w14:stPos="0" w14:endA="0" w14:endPos="100000" w14:dist="0" w14:dir="0" w14:fadeDir="5400000" w14:sx="100000" w14:sy="100000" w14:kx="0" w14:algn="b"/>
                        <w14:textFill>
                          <w14:solidFill>
                            <w14:schemeClr w14:val="bg1"/>
                          </w14:solidFill>
                        </w14:textFill>
                        <w14:props3d w14:extrusionH="0" w14:contourW="0" w14:prstMaterial="clear"/>
                      </w:rPr>
                      <w:t xml:space="preserve"> NEWS</w:t>
                    </w:r>
                    <w:r>
                      <w:rPr>
                        <w:rFonts w:hint="eastAsia" w:ascii="微软雅黑" w:eastAsia="微软雅黑" w:hAnsiTheme="minorBidi"/>
                        <w:b/>
                        <w:color w:val="FFFFFF" w:themeColor="background1"/>
                        <w:kern w:val="24"/>
                        <w:sz w:val="44"/>
                        <w:szCs w:val="44"/>
                        <w:lang w:val="en-US" w:eastAsia="zh-CN"/>
                        <w14:textFill>
                          <w14:solidFill>
                            <w14:schemeClr w14:val="bg1"/>
                          </w14:solidFill>
                        </w14:textFill>
                      </w:rPr>
                      <w:t xml:space="preserve">                          </w:t>
                    </w:r>
                    <w:r>
                      <w:rPr>
                        <w:rFonts w:hint="eastAsia" w:ascii="微软雅黑" w:eastAsia="微软雅黑" w:hAnsiTheme="minorBidi"/>
                        <w:b/>
                        <w:color w:val="FFFFFF" w:themeColor="background1"/>
                        <w:kern w:val="24"/>
                        <w:sz w:val="28"/>
                        <w:szCs w:val="28"/>
                        <w:lang w:val="en-US" w:eastAsia="zh-CN"/>
                        <w14:textFill>
                          <w14:solidFill>
                            <w14:schemeClr w14:val="bg1"/>
                          </w14:solidFill>
                        </w14:textFill>
                      </w:rPr>
                      <w:t>博视天下 · 静观世界</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top</wp:align>
              </wp:positionV>
              <wp:extent cx="7560945" cy="882015"/>
              <wp:effectExtent l="0" t="0" r="1905" b="13335"/>
              <wp:wrapNone/>
              <wp:docPr id="10" name="任意多边形: 形状 7"/>
              <wp:cNvGraphicFramePr/>
              <a:graphic xmlns:a="http://schemas.openxmlformats.org/drawingml/2006/main">
                <a:graphicData uri="http://schemas.microsoft.com/office/word/2010/wordprocessingShape">
                  <wps:wsp>
                    <wps:cNvSpPr/>
                    <wps:spPr>
                      <a:xfrm rot="10800000">
                        <a:off x="0" y="0"/>
                        <a:ext cx="7561263" cy="882204"/>
                      </a:xfrm>
                      <a:custGeom>
                        <a:avLst/>
                        <a:gdLst>
                          <a:gd name="connsiteX0" fmla="*/ 7561263 w 7561263"/>
                          <a:gd name="connsiteY0" fmla="*/ 954212 h 954212"/>
                          <a:gd name="connsiteX1" fmla="*/ 0 w 7561263"/>
                          <a:gd name="connsiteY1" fmla="*/ 954212 h 954212"/>
                          <a:gd name="connsiteX2" fmla="*/ 0 w 7561263"/>
                          <a:gd name="connsiteY2" fmla="*/ 360040 h 954212"/>
                          <a:gd name="connsiteX3" fmla="*/ 687169 w 7561263"/>
                          <a:gd name="connsiteY3" fmla="*/ 360040 h 954212"/>
                          <a:gd name="connsiteX4" fmla="*/ 895992 w 7561263"/>
                          <a:gd name="connsiteY4" fmla="*/ 0 h 954212"/>
                          <a:gd name="connsiteX5" fmla="*/ 1104815 w 7561263"/>
                          <a:gd name="connsiteY5" fmla="*/ 360040 h 954212"/>
                          <a:gd name="connsiteX6" fmla="*/ 7561263 w 7561263"/>
                          <a:gd name="connsiteY6" fmla="*/ 360040 h 954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1263" h="954212">
                            <a:moveTo>
                              <a:pt x="7561263" y="954212"/>
                            </a:moveTo>
                            <a:lnTo>
                              <a:pt x="0" y="954212"/>
                            </a:lnTo>
                            <a:lnTo>
                              <a:pt x="0" y="360040"/>
                            </a:lnTo>
                            <a:lnTo>
                              <a:pt x="687169" y="360040"/>
                            </a:lnTo>
                            <a:lnTo>
                              <a:pt x="895992" y="0"/>
                            </a:lnTo>
                            <a:lnTo>
                              <a:pt x="1104815" y="360040"/>
                            </a:lnTo>
                            <a:lnTo>
                              <a:pt x="7561263" y="360040"/>
                            </a:lnTo>
                            <a:close/>
                          </a:path>
                        </a:pathLst>
                      </a:custGeom>
                      <a:solidFill>
                        <a:srgbClr val="25A6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shape id="任意多边形: 形状 7" o:spid="_x0000_s1026" o:spt="100" style="position:absolute;left:0pt;height:69.45pt;width:595.35pt;mso-position-horizontal:center;mso-position-horizontal-relative:page;mso-position-vertical:top;mso-position-vertical-relative:page;rotation:11796480f;z-index:251659264;v-text-anchor:middle;mso-width-relative:page;mso-height-relative:page;mso-width-percent:1000;" fillcolor="#25A6B8" filled="t" stroked="f" coordsize="7561263,954212" o:gfxdata="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1b+CN1QAA&#10;AAYBAAAPAAAAAAAAAAEAIAAAACIAAABkcnMvZG93bnJldi54bWxQSwECFAAUAAAACACHTuJA0ReK&#10;cOkDAAAmCwAADgAAAAAAAAABACAAAAAkAQAAZHJzL2Uyb0RvYy54bWxQSwUGAAAAAAYABgBZAQAA&#10;fwcAAAAA&#10;" path="m7561263,954212l0,954212,0,360040,687169,360040,895992,0,1104815,360040,7561263,360040xe">
              <v:path o:connectlocs="7561263,882204;0,882204;0,332870;687169,332870;895992,0;1104815,332870;7561263,332870" o:connectangles="0,0,0,0,0,0,0"/>
              <v:fill on="t" focussize="0,0"/>
              <v:stroke on="f" weight="1pt" miterlimit="8" joinstyle="miter"/>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E55B93"/>
    <w:multiLevelType w:val="singleLevel"/>
    <w:tmpl w:val="54E55B93"/>
    <w:lvl w:ilvl="0" w:tentative="0">
      <w:start w:val="6"/>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3118A"/>
    <w:rsid w:val="005C6ADC"/>
    <w:rsid w:val="00662AE0"/>
    <w:rsid w:val="00702588"/>
    <w:rsid w:val="0156177E"/>
    <w:rsid w:val="01852063"/>
    <w:rsid w:val="018A080D"/>
    <w:rsid w:val="01A544B3"/>
    <w:rsid w:val="02105DD0"/>
    <w:rsid w:val="02581525"/>
    <w:rsid w:val="03B92498"/>
    <w:rsid w:val="03D66BA6"/>
    <w:rsid w:val="03F04E05"/>
    <w:rsid w:val="04051239"/>
    <w:rsid w:val="04545285"/>
    <w:rsid w:val="05355B4E"/>
    <w:rsid w:val="055E6E53"/>
    <w:rsid w:val="05856AD5"/>
    <w:rsid w:val="05C6172A"/>
    <w:rsid w:val="06376D25"/>
    <w:rsid w:val="073C7668"/>
    <w:rsid w:val="075F2AF0"/>
    <w:rsid w:val="078608E3"/>
    <w:rsid w:val="07F96AAF"/>
    <w:rsid w:val="086E3851"/>
    <w:rsid w:val="08CE2541"/>
    <w:rsid w:val="08D11509"/>
    <w:rsid w:val="09A60605"/>
    <w:rsid w:val="09D65E07"/>
    <w:rsid w:val="09F93DAC"/>
    <w:rsid w:val="0A330660"/>
    <w:rsid w:val="0A527114"/>
    <w:rsid w:val="0AB512EB"/>
    <w:rsid w:val="0B21104E"/>
    <w:rsid w:val="0CF5311F"/>
    <w:rsid w:val="0D29379D"/>
    <w:rsid w:val="0DB6770F"/>
    <w:rsid w:val="0E8516E7"/>
    <w:rsid w:val="0EEB185F"/>
    <w:rsid w:val="0EF17E89"/>
    <w:rsid w:val="0F1A0888"/>
    <w:rsid w:val="108B6D7B"/>
    <w:rsid w:val="111059A5"/>
    <w:rsid w:val="11655D12"/>
    <w:rsid w:val="118C0FA3"/>
    <w:rsid w:val="1191235E"/>
    <w:rsid w:val="11AB188E"/>
    <w:rsid w:val="11C9224B"/>
    <w:rsid w:val="11D337D5"/>
    <w:rsid w:val="121B11F7"/>
    <w:rsid w:val="1253118A"/>
    <w:rsid w:val="128E362E"/>
    <w:rsid w:val="12E434F4"/>
    <w:rsid w:val="138E124B"/>
    <w:rsid w:val="13901FE6"/>
    <w:rsid w:val="13A91BE1"/>
    <w:rsid w:val="1433594E"/>
    <w:rsid w:val="14892F40"/>
    <w:rsid w:val="15707D02"/>
    <w:rsid w:val="16CF7BB0"/>
    <w:rsid w:val="17424826"/>
    <w:rsid w:val="17865DF5"/>
    <w:rsid w:val="178F0FE3"/>
    <w:rsid w:val="18610CDC"/>
    <w:rsid w:val="18D55226"/>
    <w:rsid w:val="18DC07C9"/>
    <w:rsid w:val="192C5EB1"/>
    <w:rsid w:val="192D5062"/>
    <w:rsid w:val="19856C4C"/>
    <w:rsid w:val="19895F16"/>
    <w:rsid w:val="1A663814"/>
    <w:rsid w:val="1BBE6445"/>
    <w:rsid w:val="1BC364DD"/>
    <w:rsid w:val="1BC724C4"/>
    <w:rsid w:val="1BF65BDF"/>
    <w:rsid w:val="1C2E35CB"/>
    <w:rsid w:val="1C8B617A"/>
    <w:rsid w:val="1CDF6673"/>
    <w:rsid w:val="1CFF3108"/>
    <w:rsid w:val="1D13456F"/>
    <w:rsid w:val="1D466790"/>
    <w:rsid w:val="1DED4CAD"/>
    <w:rsid w:val="1E4075E6"/>
    <w:rsid w:val="1E705450"/>
    <w:rsid w:val="1EB451EE"/>
    <w:rsid w:val="205A0DA2"/>
    <w:rsid w:val="21790E9B"/>
    <w:rsid w:val="21B92D9C"/>
    <w:rsid w:val="222A0600"/>
    <w:rsid w:val="22D50C00"/>
    <w:rsid w:val="22D905E5"/>
    <w:rsid w:val="234E1B88"/>
    <w:rsid w:val="245D11B7"/>
    <w:rsid w:val="248875F1"/>
    <w:rsid w:val="25C67F47"/>
    <w:rsid w:val="2604714B"/>
    <w:rsid w:val="273870AC"/>
    <w:rsid w:val="28133675"/>
    <w:rsid w:val="284A2835"/>
    <w:rsid w:val="28645750"/>
    <w:rsid w:val="290731DA"/>
    <w:rsid w:val="29706524"/>
    <w:rsid w:val="29824F56"/>
    <w:rsid w:val="298567F4"/>
    <w:rsid w:val="2A420242"/>
    <w:rsid w:val="2A7A6D66"/>
    <w:rsid w:val="2A9C5BA4"/>
    <w:rsid w:val="2AF053A3"/>
    <w:rsid w:val="2B3A7C09"/>
    <w:rsid w:val="2C680C50"/>
    <w:rsid w:val="2CA46844"/>
    <w:rsid w:val="2CD17C15"/>
    <w:rsid w:val="2CEE2546"/>
    <w:rsid w:val="2E04315A"/>
    <w:rsid w:val="2E32483A"/>
    <w:rsid w:val="2E9D5037"/>
    <w:rsid w:val="2EB07FFF"/>
    <w:rsid w:val="2EFA1321"/>
    <w:rsid w:val="2FB27C17"/>
    <w:rsid w:val="302B1A93"/>
    <w:rsid w:val="31C17446"/>
    <w:rsid w:val="3264169D"/>
    <w:rsid w:val="32CD386F"/>
    <w:rsid w:val="33802506"/>
    <w:rsid w:val="33C47ABD"/>
    <w:rsid w:val="34473024"/>
    <w:rsid w:val="34B65824"/>
    <w:rsid w:val="354D6418"/>
    <w:rsid w:val="35696FCA"/>
    <w:rsid w:val="35BC70FA"/>
    <w:rsid w:val="35FE3BB6"/>
    <w:rsid w:val="36D93CDC"/>
    <w:rsid w:val="3703656B"/>
    <w:rsid w:val="37754915"/>
    <w:rsid w:val="37F8402D"/>
    <w:rsid w:val="3835198A"/>
    <w:rsid w:val="38402264"/>
    <w:rsid w:val="386A5533"/>
    <w:rsid w:val="38877E93"/>
    <w:rsid w:val="391F40FA"/>
    <w:rsid w:val="3988580A"/>
    <w:rsid w:val="39D84F3C"/>
    <w:rsid w:val="3A0D43C8"/>
    <w:rsid w:val="3A5651FB"/>
    <w:rsid w:val="3A777048"/>
    <w:rsid w:val="3B8D52C8"/>
    <w:rsid w:val="3BC211E2"/>
    <w:rsid w:val="3C6B0D7F"/>
    <w:rsid w:val="3CB53CD0"/>
    <w:rsid w:val="3D375B63"/>
    <w:rsid w:val="3DF17D30"/>
    <w:rsid w:val="3E0B0C1F"/>
    <w:rsid w:val="3EBD29A6"/>
    <w:rsid w:val="3EF576D9"/>
    <w:rsid w:val="40097857"/>
    <w:rsid w:val="4028601D"/>
    <w:rsid w:val="40ED4F53"/>
    <w:rsid w:val="41CC4B1E"/>
    <w:rsid w:val="427046AE"/>
    <w:rsid w:val="433B7F45"/>
    <w:rsid w:val="4392593E"/>
    <w:rsid w:val="44946379"/>
    <w:rsid w:val="44C935E1"/>
    <w:rsid w:val="45084F4F"/>
    <w:rsid w:val="4536193F"/>
    <w:rsid w:val="46220F1F"/>
    <w:rsid w:val="474D674C"/>
    <w:rsid w:val="478A34FC"/>
    <w:rsid w:val="47A619B8"/>
    <w:rsid w:val="47C702AC"/>
    <w:rsid w:val="48DF7B4D"/>
    <w:rsid w:val="4A6A3171"/>
    <w:rsid w:val="4A6B51E0"/>
    <w:rsid w:val="4C5F67DB"/>
    <w:rsid w:val="4C827C94"/>
    <w:rsid w:val="4D3010B2"/>
    <w:rsid w:val="4D3B7686"/>
    <w:rsid w:val="4D5749A5"/>
    <w:rsid w:val="4DB76EE3"/>
    <w:rsid w:val="4DC51764"/>
    <w:rsid w:val="4E04238F"/>
    <w:rsid w:val="4E04685C"/>
    <w:rsid w:val="4E296E9F"/>
    <w:rsid w:val="4E4D5283"/>
    <w:rsid w:val="4E907820"/>
    <w:rsid w:val="4F66159D"/>
    <w:rsid w:val="4FFA76C8"/>
    <w:rsid w:val="500517FC"/>
    <w:rsid w:val="501058E7"/>
    <w:rsid w:val="50F15E10"/>
    <w:rsid w:val="51200A2D"/>
    <w:rsid w:val="51393D98"/>
    <w:rsid w:val="51C0201B"/>
    <w:rsid w:val="51EE0B2B"/>
    <w:rsid w:val="52756B57"/>
    <w:rsid w:val="52BA27BB"/>
    <w:rsid w:val="52DF3B64"/>
    <w:rsid w:val="53004B9D"/>
    <w:rsid w:val="53500867"/>
    <w:rsid w:val="54176117"/>
    <w:rsid w:val="541D2046"/>
    <w:rsid w:val="5472551C"/>
    <w:rsid w:val="551E1A37"/>
    <w:rsid w:val="553B6573"/>
    <w:rsid w:val="56B72B50"/>
    <w:rsid w:val="57EE263E"/>
    <w:rsid w:val="580746F5"/>
    <w:rsid w:val="597933D0"/>
    <w:rsid w:val="59C208D3"/>
    <w:rsid w:val="59FB5B93"/>
    <w:rsid w:val="5A302972"/>
    <w:rsid w:val="5AC828A6"/>
    <w:rsid w:val="5B190F8F"/>
    <w:rsid w:val="5B6836FC"/>
    <w:rsid w:val="5BC14BBB"/>
    <w:rsid w:val="5CC361BA"/>
    <w:rsid w:val="5CE964FA"/>
    <w:rsid w:val="5D042FB1"/>
    <w:rsid w:val="5D4930BA"/>
    <w:rsid w:val="5D8D11F8"/>
    <w:rsid w:val="5D8E7844"/>
    <w:rsid w:val="5DD16886"/>
    <w:rsid w:val="5DE27796"/>
    <w:rsid w:val="5E274ED0"/>
    <w:rsid w:val="5E4F2952"/>
    <w:rsid w:val="601F7341"/>
    <w:rsid w:val="610C37B2"/>
    <w:rsid w:val="62013F63"/>
    <w:rsid w:val="623460E6"/>
    <w:rsid w:val="624D4109"/>
    <w:rsid w:val="62C84A81"/>
    <w:rsid w:val="62E26EE1"/>
    <w:rsid w:val="63DC4C88"/>
    <w:rsid w:val="646060BC"/>
    <w:rsid w:val="6461518D"/>
    <w:rsid w:val="646C0914"/>
    <w:rsid w:val="649C5108"/>
    <w:rsid w:val="64B704ED"/>
    <w:rsid w:val="65B01F28"/>
    <w:rsid w:val="65D521FE"/>
    <w:rsid w:val="65F00576"/>
    <w:rsid w:val="661D1C85"/>
    <w:rsid w:val="66BB0A91"/>
    <w:rsid w:val="67DC66DC"/>
    <w:rsid w:val="68E06FD9"/>
    <w:rsid w:val="692B42BC"/>
    <w:rsid w:val="69C520DF"/>
    <w:rsid w:val="6A2C1D99"/>
    <w:rsid w:val="6AE306AA"/>
    <w:rsid w:val="6B0B7375"/>
    <w:rsid w:val="6B8B79FD"/>
    <w:rsid w:val="6BCD2B1F"/>
    <w:rsid w:val="6BE461BD"/>
    <w:rsid w:val="6C452093"/>
    <w:rsid w:val="6C861C34"/>
    <w:rsid w:val="6CE40709"/>
    <w:rsid w:val="6D3B21C6"/>
    <w:rsid w:val="6EFF12ED"/>
    <w:rsid w:val="6F460A9E"/>
    <w:rsid w:val="7010414A"/>
    <w:rsid w:val="70634D1B"/>
    <w:rsid w:val="721101F2"/>
    <w:rsid w:val="727D245E"/>
    <w:rsid w:val="728E539F"/>
    <w:rsid w:val="73546E45"/>
    <w:rsid w:val="744C2528"/>
    <w:rsid w:val="747607E0"/>
    <w:rsid w:val="747F58E7"/>
    <w:rsid w:val="75427AEF"/>
    <w:rsid w:val="75CE5EA1"/>
    <w:rsid w:val="76070C57"/>
    <w:rsid w:val="76BB5C88"/>
    <w:rsid w:val="7758535C"/>
    <w:rsid w:val="777A4144"/>
    <w:rsid w:val="77AE0291"/>
    <w:rsid w:val="77FF010A"/>
    <w:rsid w:val="78B34E45"/>
    <w:rsid w:val="78CE0BEB"/>
    <w:rsid w:val="7A0348C4"/>
    <w:rsid w:val="7A613399"/>
    <w:rsid w:val="7AC22541"/>
    <w:rsid w:val="7B0E1E12"/>
    <w:rsid w:val="7B0F3A72"/>
    <w:rsid w:val="7B127C9C"/>
    <w:rsid w:val="7B4C3CFE"/>
    <w:rsid w:val="7B8F40FC"/>
    <w:rsid w:val="7BC65BA9"/>
    <w:rsid w:val="7BE424D4"/>
    <w:rsid w:val="7CE04A49"/>
    <w:rsid w:val="7D335A3A"/>
    <w:rsid w:val="7D985C57"/>
    <w:rsid w:val="7DE80C9C"/>
    <w:rsid w:val="7DF369FE"/>
    <w:rsid w:val="7E5C45A3"/>
    <w:rsid w:val="7F1D01D6"/>
    <w:rsid w:val="7F1D6663"/>
    <w:rsid w:val="7F201A75"/>
    <w:rsid w:val="7F9E1868"/>
    <w:rsid w:val="7FBA02A2"/>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9">
    <w:name w:val="Strong"/>
    <w:basedOn w:val="8"/>
    <w:qFormat/>
    <w:uiPriority w:val="22"/>
    <w:rPr>
      <w:b/>
    </w:rPr>
  </w:style>
  <w:style w:type="character" w:styleId="10">
    <w:name w:val="Emphasis"/>
    <w:basedOn w:val="8"/>
    <w:qFormat/>
    <w:uiPriority w:val="20"/>
    <w:rPr>
      <w:i/>
    </w:rPr>
  </w:style>
  <w:style w:type="paragraph" w:customStyle="1" w:styleId="11">
    <w:name w:val="分类号"/>
    <w:basedOn w:val="1"/>
    <w:qFormat/>
    <w:uiPriority w:val="0"/>
    <w:rPr>
      <w:rFonts w:ascii="仿宋_GB2312" w:eastAsia="仿宋_GB2312"/>
      <w:sz w:val="28"/>
      <w:szCs w:val="28"/>
    </w:rPr>
  </w:style>
  <w:style w:type="paragraph" w:customStyle="1" w:styleId="12">
    <w:name w:val="封面日期"/>
    <w:basedOn w:val="1"/>
    <w:qFormat/>
    <w:uiPriority w:val="0"/>
    <w:pPr>
      <w:jc w:val="center"/>
    </w:pPr>
    <w:rPr>
      <w:rFonts w:ascii="黑体" w:eastAsia="黑体"/>
      <w:sz w:val="32"/>
      <w:szCs w:val="32"/>
    </w:rPr>
  </w:style>
  <w:style w:type="paragraph" w:customStyle="1" w:styleId="13">
    <w:name w:val="论文标题"/>
    <w:basedOn w:val="1"/>
    <w:qFormat/>
    <w:uiPriority w:val="0"/>
    <w:pPr>
      <w:jc w:val="center"/>
    </w:pPr>
    <w:rPr>
      <w:rFonts w:eastAsia="楷体_GB2312"/>
      <w:b/>
      <w:kern w:val="36"/>
      <w:sz w:val="52"/>
      <w:szCs w:val="52"/>
    </w:rPr>
  </w:style>
  <w:style w:type="paragraph" w:customStyle="1" w:styleId="14">
    <w:name w:val="硕士学位论文"/>
    <w:basedOn w:val="1"/>
    <w:qFormat/>
    <w:uiPriority w:val="0"/>
    <w:pPr>
      <w:spacing w:before="240"/>
      <w:jc w:val="center"/>
    </w:pPr>
    <w:rPr>
      <w:sz w:val="44"/>
      <w:szCs w:val="44"/>
    </w:rPr>
  </w:style>
  <w:style w:type="paragraph" w:customStyle="1" w:styleId="15">
    <w:name w:val="研究生姓名"/>
    <w:basedOn w:val="1"/>
    <w:qFormat/>
    <w:uiPriority w:val="0"/>
    <w:pPr>
      <w:ind w:firstLine="700" w:firstLineChars="7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ops>
  <customShpExts>
    <customShpInfo spid="_x0000_s1026" textRotate="1"/>
  </customShpExts>
  <s:tags>
    <s:tag s:spid="_x0000_s1026">
      <s:item s:name="KSO_DOCER_RESOURCE_TRACE_INFO" s:val="{&quot;id&quot;:&quot;25073102&quot;,&quot;origin&quot;:0,&quot;type&quot;:&quot;wordart&quot;,&quot;user&quot;:&quot;1120592961&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8164</Words>
  <Characters>8590</Characters>
  <Lines>0</Lines>
  <Paragraphs>0</Paragraphs>
  <TotalTime>2834</TotalTime>
  <ScaleCrop>false</ScaleCrop>
  <LinksUpToDate>false</LinksUpToDate>
  <CharactersWithSpaces>8634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2025-04-03T03:56:00Z</dcterms:created>
  <dc:creator>吃货炼成手册</dc:creator>
  <cp:lastModifiedBy>天津捷嘉</cp:lastModifiedBy>
  <cp:lastPrinted>2025-07-11T02:27:00Z</cp:lastPrinted>
  <dcterms:modified xsi:type="dcterms:W3CDTF">2025-09-28T02:36:48Z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765D4535D4D842A19B34A78F7D81180F_13</vt:lpwstr>
  </property>
  <property fmtid="{D5CDD505-2E9C-101B-9397-08002B2CF9AE}" pid="4" name="KSOTemplateDocerSaveRecord">
    <vt:lpwstr>eyJoZGlkIjoiMTY5NDIxNTk5MzgwMzhjOTkzNmVlNjllM2ZjYWMwYWQiLCJ1c2VySWQiOiIxMjk1MDU4NzQ1In0=</vt:lpwstr>
  </property>
</Properties>
</file>